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18" w:rsidRDefault="00041718">
      <w:bookmarkStart w:id="0" w:name="_GoBack"/>
      <w:bookmarkEnd w:id="0"/>
    </w:p>
    <w:p w:rsidR="00B166F1" w:rsidRPr="00A65AC6" w:rsidRDefault="00A65AC6">
      <w:pPr>
        <w:rPr>
          <w:rFonts w:ascii="Arial" w:hAnsi="Arial" w:cs="Arial"/>
          <w:b/>
        </w:rPr>
      </w:pPr>
      <w:r w:rsidRPr="00A65AC6">
        <w:rPr>
          <w:rFonts w:ascii="Arial" w:hAnsi="Arial" w:cs="Arial"/>
          <w:b/>
        </w:rPr>
        <w:t>Britain in Bloom Marking Criteria - FAQ</w:t>
      </w:r>
    </w:p>
    <w:p w:rsidR="008244F2" w:rsidRDefault="008244F2" w:rsidP="00A65AC6">
      <w:pPr>
        <w:spacing w:before="120" w:after="120"/>
        <w:rPr>
          <w:rFonts w:ascii="Arial" w:hAnsi="Arial" w:cs="Arial"/>
        </w:rPr>
      </w:pPr>
      <w:r w:rsidRPr="008244F2">
        <w:rPr>
          <w:rFonts w:ascii="Arial" w:hAnsi="Arial" w:cs="Arial"/>
        </w:rPr>
        <w:t>Although this question and answer sheet is not exhaustive, it is intended to answer those questions most frequently asked.</w:t>
      </w:r>
    </w:p>
    <w:p w:rsidR="00A06FE7" w:rsidRDefault="00A06FE7" w:rsidP="00A65AC6">
      <w:pPr>
        <w:spacing w:before="120" w:after="120"/>
        <w:rPr>
          <w:rFonts w:ascii="Arial" w:hAnsi="Arial" w:cs="Arial"/>
        </w:rPr>
      </w:pPr>
    </w:p>
    <w:tbl>
      <w:tblPr>
        <w:tblStyle w:val="TableGrid"/>
        <w:tblW w:w="0" w:type="auto"/>
        <w:tblLook w:val="04A0" w:firstRow="1" w:lastRow="0" w:firstColumn="1" w:lastColumn="0" w:noHBand="0" w:noVBand="1"/>
      </w:tblPr>
      <w:tblGrid>
        <w:gridCol w:w="988"/>
        <w:gridCol w:w="8028"/>
      </w:tblGrid>
      <w:tr w:rsidR="00C83771" w:rsidRPr="008244F2" w:rsidTr="00CD023D">
        <w:tc>
          <w:tcPr>
            <w:tcW w:w="9016" w:type="dxa"/>
            <w:gridSpan w:val="2"/>
            <w:shd w:val="clear" w:color="auto" w:fill="D5FFEA"/>
          </w:tcPr>
          <w:p w:rsidR="00C83771" w:rsidRPr="003805F6" w:rsidRDefault="003805F6" w:rsidP="003805F6">
            <w:pPr>
              <w:spacing w:before="120" w:after="120"/>
              <w:rPr>
                <w:rFonts w:ascii="Arial" w:hAnsi="Arial" w:cs="Arial"/>
                <w:b/>
              </w:rPr>
            </w:pPr>
            <w:r w:rsidRPr="003805F6">
              <w:rPr>
                <w:rFonts w:ascii="Arial" w:hAnsi="Arial" w:cs="Arial"/>
                <w:b/>
              </w:rPr>
              <w:t xml:space="preserve">What </w:t>
            </w:r>
            <w:r>
              <w:rPr>
                <w:rFonts w:ascii="Arial" w:hAnsi="Arial" w:cs="Arial"/>
                <w:b/>
              </w:rPr>
              <w:t>H</w:t>
            </w:r>
            <w:r w:rsidRPr="003805F6">
              <w:rPr>
                <w:rFonts w:ascii="Arial" w:hAnsi="Arial" w:cs="Arial"/>
                <w:b/>
              </w:rPr>
              <w:t xml:space="preserve">as </w:t>
            </w:r>
            <w:r>
              <w:rPr>
                <w:rFonts w:ascii="Arial" w:hAnsi="Arial" w:cs="Arial"/>
                <w:b/>
              </w:rPr>
              <w:t>C</w:t>
            </w:r>
            <w:r w:rsidRPr="003805F6">
              <w:rPr>
                <w:rFonts w:ascii="Arial" w:hAnsi="Arial" w:cs="Arial"/>
                <w:b/>
              </w:rPr>
              <w:t>hanged and Why</w:t>
            </w:r>
            <w:r>
              <w:rPr>
                <w:rFonts w:ascii="Arial" w:hAnsi="Arial" w:cs="Arial"/>
                <w:b/>
              </w:rPr>
              <w:t>:</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Q1.</w:t>
            </w:r>
          </w:p>
        </w:tc>
        <w:tc>
          <w:tcPr>
            <w:tcW w:w="8028" w:type="dxa"/>
          </w:tcPr>
          <w:p w:rsidR="00C83771" w:rsidRPr="007F6460" w:rsidRDefault="00C83771" w:rsidP="00CE162F">
            <w:pPr>
              <w:spacing w:before="120"/>
              <w:rPr>
                <w:rFonts w:ascii="Arial" w:hAnsi="Arial" w:cs="Arial"/>
                <w:b/>
              </w:rPr>
            </w:pPr>
            <w:r w:rsidRPr="007F6460">
              <w:rPr>
                <w:rFonts w:ascii="Arial" w:hAnsi="Arial" w:cs="Arial"/>
                <w:b/>
              </w:rPr>
              <w:t xml:space="preserve">Why </w:t>
            </w:r>
            <w:r w:rsidR="003805F6" w:rsidRPr="007F6460">
              <w:rPr>
                <w:rFonts w:ascii="Arial" w:hAnsi="Arial" w:cs="Arial"/>
                <w:b/>
              </w:rPr>
              <w:t>ha</w:t>
            </w:r>
            <w:r w:rsidR="00CE162F" w:rsidRPr="007F6460">
              <w:rPr>
                <w:rFonts w:ascii="Arial" w:hAnsi="Arial" w:cs="Arial"/>
                <w:b/>
              </w:rPr>
              <w:t>ve</w:t>
            </w:r>
            <w:r w:rsidR="003805F6" w:rsidRPr="007F6460">
              <w:rPr>
                <w:rFonts w:ascii="Arial" w:hAnsi="Arial" w:cs="Arial"/>
                <w:b/>
              </w:rPr>
              <w:t xml:space="preserve"> </w:t>
            </w:r>
            <w:r w:rsidRPr="007F6460">
              <w:rPr>
                <w:rFonts w:ascii="Arial" w:hAnsi="Arial" w:cs="Arial"/>
                <w:b/>
              </w:rPr>
              <w:t xml:space="preserve">the </w:t>
            </w:r>
            <w:r w:rsidR="003805F6" w:rsidRPr="007F6460">
              <w:rPr>
                <w:rFonts w:ascii="Arial" w:hAnsi="Arial" w:cs="Arial"/>
                <w:b/>
              </w:rPr>
              <w:t xml:space="preserve">Britain in Bloom </w:t>
            </w:r>
            <w:r w:rsidRPr="007F6460">
              <w:rPr>
                <w:rFonts w:ascii="Arial" w:hAnsi="Arial" w:cs="Arial"/>
                <w:b/>
              </w:rPr>
              <w:t xml:space="preserve">marking criteria been </w:t>
            </w:r>
            <w:r w:rsidR="003805F6" w:rsidRPr="007F6460">
              <w:rPr>
                <w:rFonts w:ascii="Arial" w:hAnsi="Arial" w:cs="Arial"/>
                <w:b/>
              </w:rPr>
              <w:t>updated</w:t>
            </w:r>
            <w:r w:rsidRPr="007F6460">
              <w:rPr>
                <w:rFonts w:ascii="Arial" w:hAnsi="Arial" w:cs="Arial"/>
                <w:b/>
              </w:rPr>
              <w:t>?</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 xml:space="preserve">Q1A.  </w:t>
            </w:r>
          </w:p>
        </w:tc>
        <w:tc>
          <w:tcPr>
            <w:tcW w:w="8028" w:type="dxa"/>
          </w:tcPr>
          <w:p w:rsidR="00684218" w:rsidRDefault="00684218" w:rsidP="00684218">
            <w:pPr>
              <w:spacing w:before="120" w:after="120"/>
              <w:rPr>
                <w:rFonts w:ascii="Arial" w:hAnsi="Arial" w:cs="Arial"/>
              </w:rPr>
            </w:pPr>
            <w:r w:rsidRPr="00684218">
              <w:rPr>
                <w:rFonts w:ascii="Arial" w:hAnsi="Arial" w:cs="Arial"/>
              </w:rPr>
              <w:t xml:space="preserve">The </w:t>
            </w:r>
            <w:r>
              <w:rPr>
                <w:rFonts w:ascii="Arial" w:hAnsi="Arial" w:cs="Arial"/>
              </w:rPr>
              <w:t xml:space="preserve">marking criteria have been updated in response to feedback from hundreds of Bloom groups as well as </w:t>
            </w:r>
            <w:r w:rsidR="004A007D">
              <w:rPr>
                <w:rFonts w:ascii="Arial" w:hAnsi="Arial" w:cs="Arial"/>
              </w:rPr>
              <w:t xml:space="preserve">numerous </w:t>
            </w:r>
            <w:r>
              <w:rPr>
                <w:rFonts w:ascii="Arial" w:hAnsi="Arial" w:cs="Arial"/>
              </w:rPr>
              <w:t>Bloom judges</w:t>
            </w:r>
            <w:r w:rsidR="004A007D">
              <w:rPr>
                <w:rFonts w:ascii="Arial" w:hAnsi="Arial" w:cs="Arial"/>
              </w:rPr>
              <w:t xml:space="preserve"> and reflects the changing nature of Bloom</w:t>
            </w:r>
            <w:r>
              <w:rPr>
                <w:rFonts w:ascii="Arial" w:hAnsi="Arial" w:cs="Arial"/>
              </w:rPr>
              <w:t xml:space="preserve">. </w:t>
            </w:r>
          </w:p>
          <w:p w:rsidR="004A007D" w:rsidRPr="004A007D" w:rsidRDefault="004A007D" w:rsidP="00684218">
            <w:pPr>
              <w:spacing w:before="120" w:after="120"/>
              <w:rPr>
                <w:rFonts w:ascii="Arial" w:hAnsi="Arial" w:cs="Arial"/>
                <w:b/>
              </w:rPr>
            </w:pPr>
            <w:r w:rsidRPr="004A007D">
              <w:rPr>
                <w:rFonts w:ascii="Arial" w:hAnsi="Arial" w:cs="Arial"/>
                <w:b/>
              </w:rPr>
              <w:t xml:space="preserve">Increased </w:t>
            </w:r>
            <w:r>
              <w:rPr>
                <w:rFonts w:ascii="Arial" w:hAnsi="Arial" w:cs="Arial"/>
                <w:b/>
              </w:rPr>
              <w:t>E</w:t>
            </w:r>
            <w:r w:rsidRPr="004A007D">
              <w:rPr>
                <w:rFonts w:ascii="Arial" w:hAnsi="Arial" w:cs="Arial"/>
                <w:b/>
              </w:rPr>
              <w:t>mphasis on Community:</w:t>
            </w:r>
          </w:p>
          <w:p w:rsidR="00684218" w:rsidRPr="00684218" w:rsidRDefault="00684218" w:rsidP="00684218">
            <w:pPr>
              <w:spacing w:before="120" w:after="120"/>
              <w:rPr>
                <w:rFonts w:ascii="Arial" w:hAnsi="Arial" w:cs="Arial"/>
              </w:rPr>
            </w:pPr>
            <w:r w:rsidRPr="00684218">
              <w:rPr>
                <w:rFonts w:ascii="Arial" w:hAnsi="Arial" w:cs="Arial"/>
              </w:rPr>
              <w:t xml:space="preserve">The programme is being increasingly supported by entirely voluntary communities, with very few councils still able to support their local Bloom projects. People are being motivated to bring their community together and make it a better place through the power of plants. </w:t>
            </w:r>
          </w:p>
          <w:p w:rsidR="004A007D" w:rsidRDefault="004A007D" w:rsidP="004A007D">
            <w:pPr>
              <w:spacing w:before="120" w:after="120"/>
              <w:rPr>
                <w:rFonts w:ascii="Arial" w:hAnsi="Arial" w:cs="Arial"/>
              </w:rPr>
            </w:pPr>
            <w:r>
              <w:rPr>
                <w:rFonts w:ascii="Arial" w:hAnsi="Arial" w:cs="Arial"/>
              </w:rPr>
              <w:t xml:space="preserve">We know that Bloom is so much </w:t>
            </w:r>
            <w:r w:rsidRPr="00684218">
              <w:rPr>
                <w:rFonts w:ascii="Arial" w:hAnsi="Arial" w:cs="Arial"/>
              </w:rPr>
              <w:t xml:space="preserve">more than just flowers </w:t>
            </w:r>
            <w:r>
              <w:rPr>
                <w:rFonts w:ascii="Arial" w:hAnsi="Arial" w:cs="Arial"/>
              </w:rPr>
              <w:t xml:space="preserve">and people with the broadest range of skills can contribute to the success of </w:t>
            </w:r>
            <w:r w:rsidR="003A4801">
              <w:rPr>
                <w:rFonts w:ascii="Arial" w:hAnsi="Arial" w:cs="Arial"/>
              </w:rPr>
              <w:t xml:space="preserve">their local </w:t>
            </w:r>
            <w:r>
              <w:rPr>
                <w:rFonts w:ascii="Arial" w:hAnsi="Arial" w:cs="Arial"/>
              </w:rPr>
              <w:t xml:space="preserve">Bloom </w:t>
            </w:r>
            <w:r w:rsidR="003A4801">
              <w:rPr>
                <w:rFonts w:ascii="Arial" w:hAnsi="Arial" w:cs="Arial"/>
              </w:rPr>
              <w:t xml:space="preserve">group. </w:t>
            </w:r>
            <w:r>
              <w:rPr>
                <w:rFonts w:ascii="Arial" w:hAnsi="Arial" w:cs="Arial"/>
              </w:rPr>
              <w:t xml:space="preserve"> </w:t>
            </w:r>
          </w:p>
          <w:p w:rsidR="004A007D" w:rsidRPr="00684218" w:rsidRDefault="004A007D" w:rsidP="004A007D">
            <w:pPr>
              <w:spacing w:before="120" w:after="120"/>
              <w:rPr>
                <w:rFonts w:ascii="Arial" w:hAnsi="Arial" w:cs="Arial"/>
              </w:rPr>
            </w:pPr>
            <w:r w:rsidRPr="00684218">
              <w:rPr>
                <w:rFonts w:ascii="Arial" w:hAnsi="Arial" w:cs="Arial"/>
              </w:rPr>
              <w:t xml:space="preserve">To remain relevant to these hard working communities the programme needs to recognise their efforts and a simple way to do this is to reward them with additional marks for </w:t>
            </w:r>
            <w:r>
              <w:rPr>
                <w:rFonts w:ascii="Arial" w:hAnsi="Arial" w:cs="Arial"/>
              </w:rPr>
              <w:t>c</w:t>
            </w:r>
            <w:r w:rsidRPr="00684218">
              <w:rPr>
                <w:rFonts w:ascii="Arial" w:hAnsi="Arial" w:cs="Arial"/>
              </w:rPr>
              <w:t>ommunit</w:t>
            </w:r>
            <w:r>
              <w:rPr>
                <w:rFonts w:ascii="Arial" w:hAnsi="Arial" w:cs="Arial"/>
              </w:rPr>
              <w:t xml:space="preserve">y involvement. </w:t>
            </w:r>
            <w:r w:rsidRPr="00684218">
              <w:rPr>
                <w:rFonts w:ascii="Arial" w:hAnsi="Arial" w:cs="Arial"/>
              </w:rPr>
              <w:t xml:space="preserve"> </w:t>
            </w:r>
          </w:p>
          <w:p w:rsidR="004A007D" w:rsidRPr="004A007D" w:rsidRDefault="004A007D" w:rsidP="00684218">
            <w:pPr>
              <w:spacing w:before="120" w:after="120"/>
              <w:rPr>
                <w:rFonts w:ascii="Arial" w:hAnsi="Arial" w:cs="Arial"/>
                <w:b/>
              </w:rPr>
            </w:pPr>
            <w:r w:rsidRPr="004A007D">
              <w:rPr>
                <w:rFonts w:ascii="Arial" w:hAnsi="Arial" w:cs="Arial"/>
                <w:b/>
              </w:rPr>
              <w:t xml:space="preserve">Increased Emphasis on Environment: </w:t>
            </w:r>
          </w:p>
          <w:p w:rsidR="00684218" w:rsidRPr="00684218" w:rsidRDefault="00684218" w:rsidP="00684218">
            <w:pPr>
              <w:spacing w:before="120" w:after="120"/>
              <w:rPr>
                <w:rFonts w:ascii="Arial" w:hAnsi="Arial" w:cs="Arial"/>
              </w:rPr>
            </w:pPr>
            <w:r w:rsidRPr="00684218">
              <w:rPr>
                <w:rFonts w:ascii="Arial" w:hAnsi="Arial" w:cs="Arial"/>
              </w:rPr>
              <w:t xml:space="preserve">Bloom groups are working in an increasingly challenging environment and the programme should reflect this. While topics like climate change and pollution are </w:t>
            </w:r>
            <w:r w:rsidR="004A007D">
              <w:rPr>
                <w:rFonts w:ascii="Arial" w:hAnsi="Arial" w:cs="Arial"/>
              </w:rPr>
              <w:t xml:space="preserve">frequently </w:t>
            </w:r>
            <w:r w:rsidRPr="00684218">
              <w:rPr>
                <w:rFonts w:ascii="Arial" w:hAnsi="Arial" w:cs="Arial"/>
              </w:rPr>
              <w:t xml:space="preserve">highlighted in the news, for people working in Bloom these issues are an everyday reality. </w:t>
            </w:r>
            <w:r w:rsidR="004A007D">
              <w:rPr>
                <w:rFonts w:ascii="Arial" w:hAnsi="Arial" w:cs="Arial"/>
              </w:rPr>
              <w:t xml:space="preserve">The 2018 </w:t>
            </w:r>
            <w:r w:rsidRPr="00684218">
              <w:rPr>
                <w:rFonts w:ascii="Arial" w:hAnsi="Arial" w:cs="Arial"/>
              </w:rPr>
              <w:t xml:space="preserve">drought only emphasised the important frontline work Bloom groups are doing to mitigate these challenges. </w:t>
            </w:r>
          </w:p>
          <w:p w:rsidR="00684218" w:rsidRDefault="00684218" w:rsidP="00684218">
            <w:pPr>
              <w:spacing w:before="120" w:after="120"/>
              <w:rPr>
                <w:rFonts w:ascii="Arial" w:hAnsi="Arial" w:cs="Arial"/>
              </w:rPr>
            </w:pPr>
            <w:r w:rsidRPr="00684218">
              <w:rPr>
                <w:rFonts w:ascii="Arial" w:hAnsi="Arial" w:cs="Arial"/>
              </w:rPr>
              <w:t>Environment is also a motivating factor for people</w:t>
            </w:r>
            <w:r w:rsidR="004A007D">
              <w:rPr>
                <w:rFonts w:ascii="Arial" w:hAnsi="Arial" w:cs="Arial"/>
              </w:rPr>
              <w:t xml:space="preserve">, particularly young people, </w:t>
            </w:r>
            <w:r w:rsidRPr="00684218">
              <w:rPr>
                <w:rFonts w:ascii="Arial" w:hAnsi="Arial" w:cs="Arial"/>
              </w:rPr>
              <w:t xml:space="preserve">to volunteer for Bloom. To reflect the importance of the environment to Bloom supporters and the important positive impact Bloom has on the environment - it makes perfect sense to increase how environment is represented in the overall marks.    </w:t>
            </w:r>
          </w:p>
          <w:p w:rsidR="007F6460" w:rsidRPr="007F6460" w:rsidRDefault="007F6460" w:rsidP="00684218">
            <w:pPr>
              <w:spacing w:before="120" w:after="120"/>
              <w:rPr>
                <w:rFonts w:ascii="Arial" w:hAnsi="Arial" w:cs="Arial"/>
                <w:b/>
              </w:rPr>
            </w:pPr>
            <w:r w:rsidRPr="007F6460">
              <w:rPr>
                <w:rFonts w:ascii="Arial" w:hAnsi="Arial" w:cs="Arial"/>
                <w:b/>
              </w:rPr>
              <w:t>Simplification of the Marking Structure:</w:t>
            </w:r>
          </w:p>
          <w:p w:rsidR="00C83771" w:rsidRPr="008244F2" w:rsidRDefault="007F6460" w:rsidP="00ED6C2D">
            <w:pPr>
              <w:spacing w:before="120" w:after="120"/>
              <w:rPr>
                <w:rFonts w:ascii="Arial" w:hAnsi="Arial" w:cs="Arial"/>
              </w:rPr>
            </w:pPr>
            <w:r>
              <w:rPr>
                <w:rFonts w:ascii="Arial" w:hAnsi="Arial" w:cs="Arial"/>
              </w:rPr>
              <w:t xml:space="preserve">The newly simplified marking structure is designed to enable new entrants to easily join the programme with a clear understanding of what they are being assessed against. </w:t>
            </w:r>
            <w:r w:rsidR="00ED6C2D">
              <w:rPr>
                <w:rFonts w:ascii="Arial" w:hAnsi="Arial" w:cs="Arial"/>
              </w:rPr>
              <w:t xml:space="preserve">The simplified structure </w:t>
            </w:r>
            <w:r>
              <w:rPr>
                <w:rFonts w:ascii="Arial" w:hAnsi="Arial" w:cs="Arial"/>
              </w:rPr>
              <w:t xml:space="preserve">also </w:t>
            </w:r>
            <w:r w:rsidR="00ED6C2D">
              <w:rPr>
                <w:rFonts w:ascii="Arial" w:hAnsi="Arial" w:cs="Arial"/>
              </w:rPr>
              <w:t xml:space="preserve">aims to </w:t>
            </w:r>
            <w:r>
              <w:rPr>
                <w:rFonts w:ascii="Arial" w:hAnsi="Arial" w:cs="Arial"/>
              </w:rPr>
              <w:t>help new judges</w:t>
            </w:r>
            <w:r w:rsidR="00ED6C2D">
              <w:rPr>
                <w:rFonts w:ascii="Arial" w:hAnsi="Arial" w:cs="Arial"/>
              </w:rPr>
              <w:t xml:space="preserve"> employ the criteria more easily and to </w:t>
            </w:r>
            <w:r>
              <w:rPr>
                <w:rFonts w:ascii="Arial" w:hAnsi="Arial" w:cs="Arial"/>
              </w:rPr>
              <w:t>ensure th</w:t>
            </w:r>
            <w:r w:rsidR="00ED6C2D">
              <w:rPr>
                <w:rFonts w:ascii="Arial" w:hAnsi="Arial" w:cs="Arial"/>
              </w:rPr>
              <w:t xml:space="preserve">at all judges’ </w:t>
            </w:r>
            <w:r>
              <w:rPr>
                <w:rFonts w:ascii="Arial" w:hAnsi="Arial" w:cs="Arial"/>
              </w:rPr>
              <w:t xml:space="preserve">assessments are </w:t>
            </w:r>
            <w:r w:rsidR="00ED6C2D">
              <w:rPr>
                <w:rFonts w:ascii="Arial" w:hAnsi="Arial" w:cs="Arial"/>
              </w:rPr>
              <w:t xml:space="preserve">as </w:t>
            </w:r>
            <w:r>
              <w:rPr>
                <w:rFonts w:ascii="Arial" w:hAnsi="Arial" w:cs="Arial"/>
              </w:rPr>
              <w:t>consistent</w:t>
            </w:r>
            <w:r w:rsidR="00ED6C2D">
              <w:rPr>
                <w:rFonts w:ascii="Arial" w:hAnsi="Arial" w:cs="Arial"/>
              </w:rPr>
              <w:t xml:space="preserve"> as possible</w:t>
            </w:r>
            <w:r>
              <w:rPr>
                <w:rFonts w:ascii="Arial" w:hAnsi="Arial" w:cs="Arial"/>
              </w:rPr>
              <w:t xml:space="preserve">. </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Q2.</w:t>
            </w:r>
          </w:p>
        </w:tc>
        <w:tc>
          <w:tcPr>
            <w:tcW w:w="8028" w:type="dxa"/>
          </w:tcPr>
          <w:p w:rsidR="00C83771" w:rsidRPr="007F6460" w:rsidRDefault="003805F6" w:rsidP="003805F6">
            <w:pPr>
              <w:spacing w:before="120"/>
              <w:rPr>
                <w:rFonts w:ascii="Arial" w:hAnsi="Arial" w:cs="Arial"/>
                <w:b/>
              </w:rPr>
            </w:pPr>
            <w:r w:rsidRPr="007F6460">
              <w:rPr>
                <w:rFonts w:ascii="Arial" w:hAnsi="Arial" w:cs="Arial"/>
                <w:b/>
              </w:rPr>
              <w:t xml:space="preserve">What has changed about the allocation of marks? </w:t>
            </w:r>
          </w:p>
        </w:tc>
      </w:tr>
      <w:tr w:rsidR="00C83771" w:rsidRPr="008244F2" w:rsidTr="008244F2">
        <w:tc>
          <w:tcPr>
            <w:tcW w:w="988" w:type="dxa"/>
          </w:tcPr>
          <w:p w:rsidR="00C83771" w:rsidRPr="008244F2" w:rsidRDefault="00C83771" w:rsidP="00404966">
            <w:pPr>
              <w:spacing w:before="120" w:after="120"/>
              <w:rPr>
                <w:rFonts w:ascii="Arial" w:hAnsi="Arial" w:cs="Arial"/>
                <w:b/>
              </w:rPr>
            </w:pPr>
            <w:r w:rsidRPr="008244F2">
              <w:rPr>
                <w:rFonts w:ascii="Arial" w:hAnsi="Arial" w:cs="Arial"/>
                <w:b/>
              </w:rPr>
              <w:t>Q2A.</w:t>
            </w:r>
          </w:p>
        </w:tc>
        <w:tc>
          <w:tcPr>
            <w:tcW w:w="8028" w:type="dxa"/>
          </w:tcPr>
          <w:p w:rsidR="00404966" w:rsidRPr="007F6460" w:rsidRDefault="00CE162F" w:rsidP="00404966">
            <w:pPr>
              <w:spacing w:before="120" w:after="120"/>
              <w:rPr>
                <w:rFonts w:ascii="Arial" w:hAnsi="Arial" w:cs="Arial"/>
              </w:rPr>
            </w:pPr>
            <w:r w:rsidRPr="007F6460">
              <w:rPr>
                <w:rFonts w:ascii="Arial" w:hAnsi="Arial" w:cs="Arial"/>
              </w:rPr>
              <w:t>The marks are now allocated</w:t>
            </w:r>
            <w:r w:rsidR="00404966" w:rsidRPr="007F6460">
              <w:rPr>
                <w:rFonts w:ascii="Arial" w:hAnsi="Arial" w:cs="Arial"/>
              </w:rPr>
              <w:t>:</w:t>
            </w:r>
          </w:p>
          <w:p w:rsidR="00404966" w:rsidRPr="007F6460" w:rsidRDefault="00CE162F" w:rsidP="00404966">
            <w:pPr>
              <w:pStyle w:val="ListParagraph"/>
              <w:numPr>
                <w:ilvl w:val="0"/>
                <w:numId w:val="2"/>
              </w:numPr>
              <w:spacing w:before="120" w:after="120"/>
              <w:rPr>
                <w:rFonts w:ascii="Arial" w:hAnsi="Arial" w:cs="Arial"/>
              </w:rPr>
            </w:pPr>
            <w:r w:rsidRPr="007F6460">
              <w:rPr>
                <w:rFonts w:ascii="Arial" w:hAnsi="Arial" w:cs="Arial"/>
              </w:rPr>
              <w:t xml:space="preserve">40% for horticulture, </w:t>
            </w:r>
          </w:p>
          <w:p w:rsidR="00404966" w:rsidRPr="007F6460" w:rsidRDefault="00CE162F" w:rsidP="00404966">
            <w:pPr>
              <w:pStyle w:val="ListParagraph"/>
              <w:numPr>
                <w:ilvl w:val="0"/>
                <w:numId w:val="2"/>
              </w:numPr>
              <w:spacing w:before="120" w:after="120"/>
              <w:rPr>
                <w:rFonts w:ascii="Arial" w:hAnsi="Arial" w:cs="Arial"/>
              </w:rPr>
            </w:pPr>
            <w:r w:rsidRPr="007F6460">
              <w:rPr>
                <w:rFonts w:ascii="Arial" w:hAnsi="Arial" w:cs="Arial"/>
              </w:rPr>
              <w:t xml:space="preserve">30% for </w:t>
            </w:r>
            <w:r w:rsidR="00404966" w:rsidRPr="007F6460">
              <w:rPr>
                <w:rFonts w:ascii="Arial" w:hAnsi="Arial" w:cs="Arial"/>
              </w:rPr>
              <w:t xml:space="preserve">environment, and </w:t>
            </w:r>
          </w:p>
          <w:p w:rsidR="00404966" w:rsidRPr="007F6460" w:rsidRDefault="00404966" w:rsidP="00404966">
            <w:pPr>
              <w:pStyle w:val="ListParagraph"/>
              <w:numPr>
                <w:ilvl w:val="0"/>
                <w:numId w:val="2"/>
              </w:numPr>
              <w:spacing w:before="120" w:after="120"/>
              <w:rPr>
                <w:rFonts w:ascii="Arial" w:hAnsi="Arial" w:cs="Arial"/>
              </w:rPr>
            </w:pPr>
            <w:r w:rsidRPr="007F6460">
              <w:rPr>
                <w:rFonts w:ascii="Arial" w:hAnsi="Arial" w:cs="Arial"/>
              </w:rPr>
              <w:t xml:space="preserve">30% for community. </w:t>
            </w:r>
          </w:p>
          <w:p w:rsidR="00C83771" w:rsidRPr="00404966" w:rsidRDefault="00404966" w:rsidP="00ED6C2D">
            <w:pPr>
              <w:spacing w:before="120" w:after="120"/>
              <w:rPr>
                <w:rFonts w:ascii="Arial" w:hAnsi="Arial" w:cs="Arial"/>
              </w:rPr>
            </w:pPr>
            <w:r w:rsidRPr="007F6460">
              <w:rPr>
                <w:rFonts w:ascii="Arial" w:hAnsi="Arial" w:cs="Arial"/>
              </w:rPr>
              <w:lastRenderedPageBreak/>
              <w:t>(</w:t>
            </w:r>
            <w:r w:rsidR="00ED6C2D">
              <w:rPr>
                <w:rFonts w:ascii="Arial" w:hAnsi="Arial" w:cs="Arial"/>
              </w:rPr>
              <w:t>In the old marking criteria marks w</w:t>
            </w:r>
            <w:r w:rsidRPr="007F6460">
              <w:rPr>
                <w:rFonts w:ascii="Arial" w:hAnsi="Arial" w:cs="Arial"/>
              </w:rPr>
              <w:t>ere awarded 50% for horticulture, 25% for environment and 25% for community).</w:t>
            </w:r>
            <w:r w:rsidRPr="00D43ABA">
              <w:rPr>
                <w:rFonts w:ascii="Arial" w:hAnsi="Arial" w:cs="Arial"/>
                <w:b/>
              </w:rPr>
              <w:t xml:space="preserve">  </w:t>
            </w:r>
          </w:p>
        </w:tc>
      </w:tr>
      <w:tr w:rsidR="00C83771" w:rsidRPr="008244F2" w:rsidTr="008244F2">
        <w:tc>
          <w:tcPr>
            <w:tcW w:w="988" w:type="dxa"/>
          </w:tcPr>
          <w:p w:rsidR="00C83771" w:rsidRPr="007F6460" w:rsidRDefault="00C83771" w:rsidP="008244F2">
            <w:pPr>
              <w:spacing w:before="120" w:after="120"/>
              <w:rPr>
                <w:rFonts w:ascii="Arial" w:hAnsi="Arial" w:cs="Arial"/>
                <w:b/>
              </w:rPr>
            </w:pPr>
            <w:r w:rsidRPr="007F6460">
              <w:rPr>
                <w:rFonts w:ascii="Arial" w:hAnsi="Arial" w:cs="Arial"/>
                <w:b/>
              </w:rPr>
              <w:lastRenderedPageBreak/>
              <w:t xml:space="preserve">Q3. </w:t>
            </w:r>
          </w:p>
        </w:tc>
        <w:tc>
          <w:tcPr>
            <w:tcW w:w="8028" w:type="dxa"/>
          </w:tcPr>
          <w:p w:rsidR="00C83771" w:rsidRPr="007F6460" w:rsidRDefault="003805F6" w:rsidP="003805F6">
            <w:pPr>
              <w:spacing w:before="120"/>
              <w:rPr>
                <w:rFonts w:ascii="Arial" w:hAnsi="Arial" w:cs="Arial"/>
                <w:b/>
              </w:rPr>
            </w:pPr>
            <w:r w:rsidRPr="007F6460">
              <w:rPr>
                <w:rFonts w:ascii="Arial" w:hAnsi="Arial" w:cs="Arial"/>
                <w:b/>
              </w:rPr>
              <w:t>Will the new marking criteria change our overall score or medal level?</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Q3A.</w:t>
            </w:r>
          </w:p>
        </w:tc>
        <w:tc>
          <w:tcPr>
            <w:tcW w:w="8028" w:type="dxa"/>
          </w:tcPr>
          <w:p w:rsidR="00C83771" w:rsidRDefault="00397A51" w:rsidP="005A4934">
            <w:pPr>
              <w:spacing w:before="120" w:after="120"/>
              <w:rPr>
                <w:rFonts w:ascii="Arial" w:hAnsi="Arial" w:cs="Arial"/>
                <w:b/>
              </w:rPr>
            </w:pPr>
            <w:r w:rsidRPr="007F6460">
              <w:rPr>
                <w:rFonts w:ascii="Arial" w:hAnsi="Arial" w:cs="Arial"/>
              </w:rPr>
              <w:t>When tested against the old system, the new marking criteria made very small changes to the scor</w:t>
            </w:r>
            <w:r w:rsidR="00332C82" w:rsidRPr="007F6460">
              <w:rPr>
                <w:rFonts w:ascii="Arial" w:hAnsi="Arial" w:cs="Arial"/>
              </w:rPr>
              <w:t>es</w:t>
            </w:r>
            <w:r w:rsidRPr="007F6460">
              <w:rPr>
                <w:rFonts w:ascii="Arial" w:hAnsi="Arial" w:cs="Arial"/>
              </w:rPr>
              <w:t xml:space="preserve"> in line with redistribution of marks</w:t>
            </w:r>
            <w:r w:rsidR="005A4934">
              <w:rPr>
                <w:rFonts w:ascii="Arial" w:hAnsi="Arial" w:cs="Arial"/>
              </w:rPr>
              <w:t xml:space="preserve"> which places greater </w:t>
            </w:r>
            <w:r w:rsidR="00404966" w:rsidRPr="007F6460">
              <w:rPr>
                <w:rFonts w:ascii="Arial" w:hAnsi="Arial" w:cs="Arial"/>
              </w:rPr>
              <w:t xml:space="preserve">emphasis on </w:t>
            </w:r>
            <w:r w:rsidR="00332C82" w:rsidRPr="007F6460">
              <w:rPr>
                <w:rFonts w:ascii="Arial" w:hAnsi="Arial" w:cs="Arial"/>
              </w:rPr>
              <w:t xml:space="preserve">environment and </w:t>
            </w:r>
            <w:r w:rsidR="00404966" w:rsidRPr="007F6460">
              <w:rPr>
                <w:rFonts w:ascii="Arial" w:hAnsi="Arial" w:cs="Arial"/>
              </w:rPr>
              <w:t>community</w:t>
            </w:r>
            <w:r w:rsidR="00332C82" w:rsidRPr="007F6460">
              <w:rPr>
                <w:rFonts w:ascii="Arial" w:hAnsi="Arial" w:cs="Arial"/>
              </w:rPr>
              <w:t>.</w:t>
            </w:r>
            <w:r w:rsidR="00332C82" w:rsidRPr="005743AA">
              <w:rPr>
                <w:rFonts w:ascii="Arial" w:hAnsi="Arial" w:cs="Arial"/>
                <w:b/>
              </w:rPr>
              <w:t xml:space="preserve"> </w:t>
            </w:r>
          </w:p>
          <w:p w:rsidR="005A4934" w:rsidRPr="008244F2" w:rsidRDefault="005A4934" w:rsidP="005A4934">
            <w:pPr>
              <w:spacing w:before="120" w:after="120"/>
              <w:rPr>
                <w:rFonts w:ascii="Arial" w:hAnsi="Arial" w:cs="Arial"/>
              </w:rPr>
            </w:pPr>
            <w:r w:rsidRPr="007F6460">
              <w:rPr>
                <w:rFonts w:ascii="Arial" w:hAnsi="Arial" w:cs="Arial"/>
              </w:rPr>
              <w:t xml:space="preserve">For the most part these changes made no difference to the overall medal levels awarded – </w:t>
            </w:r>
            <w:r>
              <w:rPr>
                <w:rFonts w:ascii="Arial" w:hAnsi="Arial" w:cs="Arial"/>
              </w:rPr>
              <w:t>i.e</w:t>
            </w:r>
            <w:r w:rsidRPr="007F6460">
              <w:rPr>
                <w:rFonts w:ascii="Arial" w:hAnsi="Arial" w:cs="Arial"/>
              </w:rPr>
              <w:t xml:space="preserve">. </w:t>
            </w:r>
            <w:r>
              <w:rPr>
                <w:rFonts w:ascii="Arial" w:hAnsi="Arial" w:cs="Arial"/>
              </w:rPr>
              <w:t>B</w:t>
            </w:r>
            <w:r w:rsidRPr="007F6460">
              <w:rPr>
                <w:rFonts w:ascii="Arial" w:hAnsi="Arial" w:cs="Arial"/>
              </w:rPr>
              <w:t xml:space="preserve">ronze, </w:t>
            </w:r>
            <w:r>
              <w:rPr>
                <w:rFonts w:ascii="Arial" w:hAnsi="Arial" w:cs="Arial"/>
              </w:rPr>
              <w:t>S</w:t>
            </w:r>
            <w:r w:rsidRPr="007F6460">
              <w:rPr>
                <w:rFonts w:ascii="Arial" w:hAnsi="Arial" w:cs="Arial"/>
              </w:rPr>
              <w:t xml:space="preserve">ilver, </w:t>
            </w:r>
            <w:r>
              <w:rPr>
                <w:rFonts w:ascii="Arial" w:hAnsi="Arial" w:cs="Arial"/>
              </w:rPr>
              <w:t>S</w:t>
            </w:r>
            <w:r w:rsidRPr="007F6460">
              <w:rPr>
                <w:rFonts w:ascii="Arial" w:hAnsi="Arial" w:cs="Arial"/>
              </w:rPr>
              <w:t>ilver</w:t>
            </w:r>
            <w:r>
              <w:rPr>
                <w:rFonts w:ascii="Arial" w:hAnsi="Arial" w:cs="Arial"/>
              </w:rPr>
              <w:t>-G</w:t>
            </w:r>
            <w:r w:rsidRPr="007F6460">
              <w:rPr>
                <w:rFonts w:ascii="Arial" w:hAnsi="Arial" w:cs="Arial"/>
              </w:rPr>
              <w:t xml:space="preserve">ilt or </w:t>
            </w:r>
            <w:r>
              <w:rPr>
                <w:rFonts w:ascii="Arial" w:hAnsi="Arial" w:cs="Arial"/>
              </w:rPr>
              <w:t>G</w:t>
            </w:r>
            <w:r w:rsidRPr="007F6460">
              <w:rPr>
                <w:rFonts w:ascii="Arial" w:hAnsi="Arial" w:cs="Arial"/>
              </w:rPr>
              <w:t xml:space="preserve">old. </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Q4</w:t>
            </w:r>
            <w:r w:rsidR="008244F2" w:rsidRPr="008244F2">
              <w:rPr>
                <w:rFonts w:ascii="Arial" w:hAnsi="Arial" w:cs="Arial"/>
                <w:b/>
              </w:rPr>
              <w:t>.</w:t>
            </w:r>
          </w:p>
        </w:tc>
        <w:tc>
          <w:tcPr>
            <w:tcW w:w="8028" w:type="dxa"/>
          </w:tcPr>
          <w:p w:rsidR="00C83771" w:rsidRPr="007F6460" w:rsidRDefault="003805F6" w:rsidP="00332C82">
            <w:pPr>
              <w:spacing w:before="120" w:after="120"/>
              <w:rPr>
                <w:rFonts w:ascii="Arial" w:hAnsi="Arial" w:cs="Arial"/>
                <w:b/>
              </w:rPr>
            </w:pPr>
            <w:r w:rsidRPr="007F6460">
              <w:rPr>
                <w:rFonts w:ascii="Arial" w:hAnsi="Arial" w:cs="Arial"/>
                <w:b/>
              </w:rPr>
              <w:t>Does the re</w:t>
            </w:r>
            <w:r w:rsidR="00332C82" w:rsidRPr="007F6460">
              <w:rPr>
                <w:rFonts w:ascii="Arial" w:hAnsi="Arial" w:cs="Arial"/>
                <w:b/>
              </w:rPr>
              <w:t xml:space="preserve">distribution </w:t>
            </w:r>
            <w:r w:rsidR="00D43ABA" w:rsidRPr="007F6460">
              <w:rPr>
                <w:rFonts w:ascii="Arial" w:hAnsi="Arial" w:cs="Arial"/>
                <w:b/>
              </w:rPr>
              <w:t>of</w:t>
            </w:r>
            <w:r w:rsidRPr="007F6460">
              <w:rPr>
                <w:rFonts w:ascii="Arial" w:hAnsi="Arial" w:cs="Arial"/>
                <w:b/>
              </w:rPr>
              <w:t xml:space="preserve"> marks </w:t>
            </w:r>
            <w:r w:rsidR="00D43ABA" w:rsidRPr="007F6460">
              <w:rPr>
                <w:rFonts w:ascii="Arial" w:hAnsi="Arial" w:cs="Arial"/>
                <w:b/>
              </w:rPr>
              <w:t>dumb down th</w:t>
            </w:r>
            <w:r w:rsidRPr="007F6460">
              <w:rPr>
                <w:rFonts w:ascii="Arial" w:hAnsi="Arial" w:cs="Arial"/>
                <w:b/>
              </w:rPr>
              <w:t>e horticultural aspect of Bloom?</w:t>
            </w:r>
          </w:p>
        </w:tc>
      </w:tr>
      <w:tr w:rsidR="00C83771" w:rsidRPr="008244F2" w:rsidTr="008244F2">
        <w:tc>
          <w:tcPr>
            <w:tcW w:w="988" w:type="dxa"/>
          </w:tcPr>
          <w:p w:rsidR="00C83771" w:rsidRPr="008244F2" w:rsidRDefault="00C83771" w:rsidP="008244F2">
            <w:pPr>
              <w:spacing w:before="120" w:after="120"/>
              <w:rPr>
                <w:rFonts w:ascii="Arial" w:hAnsi="Arial" w:cs="Arial"/>
                <w:b/>
              </w:rPr>
            </w:pPr>
            <w:r w:rsidRPr="008244F2">
              <w:rPr>
                <w:rFonts w:ascii="Arial" w:hAnsi="Arial" w:cs="Arial"/>
                <w:b/>
              </w:rPr>
              <w:t xml:space="preserve">Q4A. </w:t>
            </w:r>
          </w:p>
        </w:tc>
        <w:tc>
          <w:tcPr>
            <w:tcW w:w="8028" w:type="dxa"/>
          </w:tcPr>
          <w:p w:rsidR="00D43ABA" w:rsidRPr="007F6460" w:rsidRDefault="00D43ABA" w:rsidP="003805F6">
            <w:pPr>
              <w:spacing w:before="120"/>
              <w:rPr>
                <w:rFonts w:ascii="Arial" w:hAnsi="Arial" w:cs="Arial"/>
              </w:rPr>
            </w:pPr>
            <w:r w:rsidRPr="007F6460">
              <w:rPr>
                <w:rFonts w:ascii="Arial" w:hAnsi="Arial" w:cs="Arial"/>
              </w:rPr>
              <w:t>The re</w:t>
            </w:r>
            <w:r w:rsidR="00332C82" w:rsidRPr="007F6460">
              <w:rPr>
                <w:rFonts w:ascii="Arial" w:hAnsi="Arial" w:cs="Arial"/>
              </w:rPr>
              <w:t xml:space="preserve">distribution </w:t>
            </w:r>
            <w:r w:rsidRPr="007F6460">
              <w:rPr>
                <w:rFonts w:ascii="Arial" w:hAnsi="Arial" w:cs="Arial"/>
              </w:rPr>
              <w:t>of marks does not dumb down horticulture</w:t>
            </w:r>
            <w:r w:rsidR="00332C82" w:rsidRPr="007F6460">
              <w:rPr>
                <w:rFonts w:ascii="Arial" w:hAnsi="Arial" w:cs="Arial"/>
              </w:rPr>
              <w:t>;</w:t>
            </w:r>
            <w:r w:rsidRPr="007F6460">
              <w:rPr>
                <w:rFonts w:ascii="Arial" w:hAnsi="Arial" w:cs="Arial"/>
              </w:rPr>
              <w:t xml:space="preserve"> it does </w:t>
            </w:r>
            <w:r w:rsidR="00332C82" w:rsidRPr="007F6460">
              <w:rPr>
                <w:rFonts w:ascii="Arial" w:hAnsi="Arial" w:cs="Arial"/>
              </w:rPr>
              <w:t xml:space="preserve">however </w:t>
            </w:r>
            <w:r w:rsidRPr="007F6460">
              <w:rPr>
                <w:rFonts w:ascii="Arial" w:hAnsi="Arial" w:cs="Arial"/>
              </w:rPr>
              <w:t>celebrate the amazing community spirit that is at the heart of Bloom.</w:t>
            </w:r>
          </w:p>
          <w:p w:rsidR="00D43ABA" w:rsidRPr="008244F2" w:rsidRDefault="00D43ABA" w:rsidP="00D43ABA">
            <w:pPr>
              <w:spacing w:before="120" w:after="120"/>
              <w:rPr>
                <w:rFonts w:ascii="Arial" w:hAnsi="Arial" w:cs="Arial"/>
              </w:rPr>
            </w:pPr>
            <w:r w:rsidRPr="007F6460">
              <w:rPr>
                <w:rFonts w:ascii="Arial" w:hAnsi="Arial" w:cs="Arial"/>
              </w:rPr>
              <w:t>Horticulture remains the most important aspect of Bloom and this is reflected by the fact that 40% of all marks are awarded for horticulture. There is no intention to reduce this 40%.</w:t>
            </w:r>
            <w:r>
              <w:rPr>
                <w:rFonts w:ascii="Arial" w:hAnsi="Arial" w:cs="Arial"/>
              </w:rPr>
              <w:t xml:space="preserve"> </w:t>
            </w:r>
          </w:p>
        </w:tc>
      </w:tr>
      <w:tr w:rsidR="00C83771" w:rsidRPr="008244F2" w:rsidTr="008244F2">
        <w:tc>
          <w:tcPr>
            <w:tcW w:w="988" w:type="dxa"/>
          </w:tcPr>
          <w:p w:rsidR="00C83771" w:rsidRPr="00D43ABA" w:rsidRDefault="008244F2" w:rsidP="003805F6">
            <w:pPr>
              <w:spacing w:before="120" w:after="120"/>
              <w:rPr>
                <w:rFonts w:ascii="Arial" w:hAnsi="Arial" w:cs="Arial"/>
                <w:b/>
              </w:rPr>
            </w:pPr>
            <w:r w:rsidRPr="00D43ABA">
              <w:rPr>
                <w:rFonts w:ascii="Arial" w:hAnsi="Arial" w:cs="Arial"/>
                <w:b/>
              </w:rPr>
              <w:t xml:space="preserve">Q5. </w:t>
            </w:r>
          </w:p>
        </w:tc>
        <w:tc>
          <w:tcPr>
            <w:tcW w:w="8028" w:type="dxa"/>
          </w:tcPr>
          <w:p w:rsidR="003805F6" w:rsidRPr="007F6460" w:rsidRDefault="003805F6" w:rsidP="00ED6C2D">
            <w:pPr>
              <w:spacing w:before="120" w:after="120"/>
              <w:rPr>
                <w:rFonts w:ascii="Arial" w:hAnsi="Arial" w:cs="Arial"/>
                <w:b/>
              </w:rPr>
            </w:pPr>
            <w:r w:rsidRPr="007F6460">
              <w:rPr>
                <w:rFonts w:ascii="Arial" w:hAnsi="Arial" w:cs="Arial"/>
                <w:b/>
              </w:rPr>
              <w:t xml:space="preserve">Why is there </w:t>
            </w:r>
            <w:r w:rsidR="00332C82" w:rsidRPr="007F6460">
              <w:rPr>
                <w:rFonts w:ascii="Arial" w:hAnsi="Arial" w:cs="Arial"/>
                <w:b/>
              </w:rPr>
              <w:t>a separate U</w:t>
            </w:r>
            <w:r w:rsidRPr="007F6460">
              <w:rPr>
                <w:rFonts w:ascii="Arial" w:hAnsi="Arial" w:cs="Arial"/>
                <w:b/>
              </w:rPr>
              <w:t xml:space="preserve">rban </w:t>
            </w:r>
            <w:r w:rsidR="00332C82" w:rsidRPr="007F6460">
              <w:rPr>
                <w:rFonts w:ascii="Arial" w:hAnsi="Arial" w:cs="Arial"/>
                <w:b/>
              </w:rPr>
              <w:t>M</w:t>
            </w:r>
            <w:r w:rsidRPr="007F6460">
              <w:rPr>
                <w:rFonts w:ascii="Arial" w:hAnsi="Arial" w:cs="Arial"/>
                <w:b/>
              </w:rPr>
              <w:t xml:space="preserve">arking </w:t>
            </w:r>
            <w:r w:rsidR="00332C82" w:rsidRPr="007F6460">
              <w:rPr>
                <w:rFonts w:ascii="Arial" w:hAnsi="Arial" w:cs="Arial"/>
                <w:b/>
              </w:rPr>
              <w:t>S</w:t>
            </w:r>
            <w:r w:rsidRPr="007F6460">
              <w:rPr>
                <w:rFonts w:ascii="Arial" w:hAnsi="Arial" w:cs="Arial"/>
                <w:b/>
              </w:rPr>
              <w:t>heet</w:t>
            </w:r>
            <w:r w:rsidR="000B7CA5" w:rsidRPr="007F6460">
              <w:rPr>
                <w:rFonts w:ascii="Arial" w:hAnsi="Arial" w:cs="Arial"/>
                <w:b/>
              </w:rPr>
              <w:t xml:space="preserve">? And what are the key differences between the Urban </w:t>
            </w:r>
            <w:r w:rsidR="003A4801">
              <w:rPr>
                <w:rFonts w:ascii="Arial" w:hAnsi="Arial" w:cs="Arial"/>
                <w:b/>
              </w:rPr>
              <w:t>a</w:t>
            </w:r>
            <w:r w:rsidR="000B7CA5" w:rsidRPr="007F6460">
              <w:rPr>
                <w:rFonts w:ascii="Arial" w:hAnsi="Arial" w:cs="Arial"/>
                <w:b/>
              </w:rPr>
              <w:t xml:space="preserve">nd </w:t>
            </w:r>
            <w:r w:rsidR="00ED6C2D">
              <w:rPr>
                <w:rFonts w:ascii="Arial" w:hAnsi="Arial" w:cs="Arial"/>
                <w:b/>
              </w:rPr>
              <w:t>S</w:t>
            </w:r>
            <w:r w:rsidR="000B7CA5" w:rsidRPr="007F6460">
              <w:rPr>
                <w:rFonts w:ascii="Arial" w:hAnsi="Arial" w:cs="Arial"/>
                <w:b/>
              </w:rPr>
              <w:t>tandard Marking Sheet</w:t>
            </w:r>
            <w:r w:rsidR="003A4801">
              <w:rPr>
                <w:rFonts w:ascii="Arial" w:hAnsi="Arial" w:cs="Arial"/>
                <w:b/>
              </w:rPr>
              <w:t>s</w:t>
            </w:r>
            <w:r w:rsidRPr="007F6460">
              <w:rPr>
                <w:rFonts w:ascii="Arial" w:hAnsi="Arial" w:cs="Arial"/>
                <w:b/>
              </w:rPr>
              <w:t>?</w:t>
            </w:r>
          </w:p>
        </w:tc>
      </w:tr>
      <w:tr w:rsidR="00A65AC6" w:rsidRPr="008244F2" w:rsidTr="008244F2">
        <w:tc>
          <w:tcPr>
            <w:tcW w:w="988" w:type="dxa"/>
          </w:tcPr>
          <w:p w:rsidR="00A65AC6" w:rsidRPr="00D43ABA" w:rsidRDefault="00A65AC6" w:rsidP="003805F6">
            <w:pPr>
              <w:spacing w:before="120" w:after="120"/>
              <w:rPr>
                <w:rFonts w:ascii="Arial" w:hAnsi="Arial" w:cs="Arial"/>
                <w:b/>
              </w:rPr>
            </w:pPr>
            <w:r w:rsidRPr="00D43ABA">
              <w:rPr>
                <w:rFonts w:ascii="Arial" w:hAnsi="Arial" w:cs="Arial"/>
                <w:b/>
              </w:rPr>
              <w:t>Q5A.</w:t>
            </w:r>
          </w:p>
        </w:tc>
        <w:tc>
          <w:tcPr>
            <w:tcW w:w="8028" w:type="dxa"/>
          </w:tcPr>
          <w:p w:rsidR="00D43ABA" w:rsidRPr="007F6460" w:rsidRDefault="00332C82" w:rsidP="00D43ABA">
            <w:pPr>
              <w:spacing w:before="120" w:after="120"/>
              <w:rPr>
                <w:rFonts w:ascii="Arial" w:hAnsi="Arial" w:cs="Arial"/>
              </w:rPr>
            </w:pPr>
            <w:r w:rsidRPr="007F6460">
              <w:rPr>
                <w:rFonts w:ascii="Arial" w:hAnsi="Arial" w:cs="Arial"/>
              </w:rPr>
              <w:t>A separate Urban Marking Sheet has been created to assess entries to the ‘BID/</w:t>
            </w:r>
            <w:r w:rsidR="00D43ABA" w:rsidRPr="007F6460">
              <w:rPr>
                <w:rFonts w:ascii="Arial" w:hAnsi="Arial" w:cs="Arial"/>
              </w:rPr>
              <w:t xml:space="preserve"> Town Centre/ City Centre’ category </w:t>
            </w:r>
            <w:r w:rsidRPr="007F6460">
              <w:rPr>
                <w:rFonts w:ascii="Arial" w:hAnsi="Arial" w:cs="Arial"/>
              </w:rPr>
              <w:t xml:space="preserve">and the ‘Urban Communities’ </w:t>
            </w:r>
            <w:r w:rsidR="00ED6C2D">
              <w:rPr>
                <w:rFonts w:ascii="Arial" w:hAnsi="Arial" w:cs="Arial"/>
              </w:rPr>
              <w:t xml:space="preserve">category </w:t>
            </w:r>
            <w:r w:rsidR="00D43ABA" w:rsidRPr="007F6460">
              <w:rPr>
                <w:rFonts w:ascii="Arial" w:hAnsi="Arial" w:cs="Arial"/>
              </w:rPr>
              <w:t>to reflect the</w:t>
            </w:r>
            <w:r w:rsidR="000B7CA5" w:rsidRPr="007F6460">
              <w:rPr>
                <w:rFonts w:ascii="Arial" w:hAnsi="Arial" w:cs="Arial"/>
              </w:rPr>
              <w:t>ir</w:t>
            </w:r>
            <w:r w:rsidR="00D43ABA" w:rsidRPr="007F6460">
              <w:rPr>
                <w:rFonts w:ascii="Arial" w:hAnsi="Arial" w:cs="Arial"/>
              </w:rPr>
              <w:t xml:space="preserve"> specifically urban nature</w:t>
            </w:r>
            <w:r w:rsidR="000B7CA5" w:rsidRPr="007F6460">
              <w:rPr>
                <w:rFonts w:ascii="Arial" w:hAnsi="Arial" w:cs="Arial"/>
              </w:rPr>
              <w:t>.</w:t>
            </w:r>
            <w:r w:rsidR="00D43ABA" w:rsidRPr="007F6460">
              <w:rPr>
                <w:rFonts w:ascii="Arial" w:hAnsi="Arial" w:cs="Arial"/>
              </w:rPr>
              <w:t xml:space="preserve"> </w:t>
            </w:r>
          </w:p>
          <w:p w:rsidR="00332C82" w:rsidRPr="007F6460" w:rsidRDefault="00D43ABA" w:rsidP="00D43ABA">
            <w:pPr>
              <w:spacing w:before="120" w:after="120"/>
              <w:rPr>
                <w:rFonts w:ascii="Arial" w:hAnsi="Arial" w:cs="Arial"/>
              </w:rPr>
            </w:pPr>
            <w:r w:rsidRPr="007F6460">
              <w:rPr>
                <w:rFonts w:ascii="Arial" w:hAnsi="Arial" w:cs="Arial"/>
              </w:rPr>
              <w:t xml:space="preserve">The </w:t>
            </w:r>
            <w:r w:rsidR="00332C82" w:rsidRPr="007F6460">
              <w:rPr>
                <w:rFonts w:ascii="Arial" w:hAnsi="Arial" w:cs="Arial"/>
              </w:rPr>
              <w:t>key</w:t>
            </w:r>
            <w:r w:rsidRPr="007F6460">
              <w:rPr>
                <w:rFonts w:ascii="Arial" w:hAnsi="Arial" w:cs="Arial"/>
              </w:rPr>
              <w:t xml:space="preserve"> difference</w:t>
            </w:r>
            <w:r w:rsidR="00332C82" w:rsidRPr="007F6460">
              <w:rPr>
                <w:rFonts w:ascii="Arial" w:hAnsi="Arial" w:cs="Arial"/>
              </w:rPr>
              <w:t>s</w:t>
            </w:r>
            <w:r w:rsidRPr="007F6460">
              <w:rPr>
                <w:rFonts w:ascii="Arial" w:hAnsi="Arial" w:cs="Arial"/>
              </w:rPr>
              <w:t xml:space="preserve"> between the Urban Marking Sheet and the Standard Marking Sheet</w:t>
            </w:r>
            <w:r w:rsidR="00332C82" w:rsidRPr="007F6460">
              <w:rPr>
                <w:rFonts w:ascii="Arial" w:hAnsi="Arial" w:cs="Arial"/>
              </w:rPr>
              <w:t xml:space="preserve"> are:</w:t>
            </w:r>
          </w:p>
          <w:tbl>
            <w:tblPr>
              <w:tblStyle w:val="TableGrid"/>
              <w:tblW w:w="0" w:type="auto"/>
              <w:tblInd w:w="737" w:type="dxa"/>
              <w:tblLook w:val="04A0" w:firstRow="1" w:lastRow="0" w:firstColumn="1" w:lastColumn="0" w:noHBand="0" w:noVBand="1"/>
            </w:tblPr>
            <w:tblGrid>
              <w:gridCol w:w="1207"/>
              <w:gridCol w:w="2410"/>
              <w:gridCol w:w="2693"/>
            </w:tblGrid>
            <w:tr w:rsidR="000B7CA5" w:rsidRPr="005743AA" w:rsidTr="005743AA">
              <w:tc>
                <w:tcPr>
                  <w:tcW w:w="1134" w:type="dxa"/>
                </w:tcPr>
                <w:p w:rsidR="000B7CA5" w:rsidRPr="005743AA" w:rsidRDefault="000B7CA5" w:rsidP="000B7CA5">
                  <w:pPr>
                    <w:spacing w:before="120" w:after="120"/>
                    <w:rPr>
                      <w:rFonts w:ascii="Arial" w:hAnsi="Arial" w:cs="Arial"/>
                      <w:b/>
                    </w:rPr>
                  </w:pPr>
                  <w:r w:rsidRPr="005743AA">
                    <w:rPr>
                      <w:rFonts w:ascii="Arial" w:hAnsi="Arial" w:cs="Arial"/>
                      <w:b/>
                    </w:rPr>
                    <w:t>Sections:</w:t>
                  </w:r>
                </w:p>
              </w:tc>
              <w:tc>
                <w:tcPr>
                  <w:tcW w:w="2410" w:type="dxa"/>
                </w:tcPr>
                <w:p w:rsidR="000B7CA5" w:rsidRPr="005743AA" w:rsidRDefault="000B7CA5" w:rsidP="00D43ABA">
                  <w:pPr>
                    <w:spacing w:before="120" w:after="120"/>
                    <w:rPr>
                      <w:rFonts w:ascii="Arial" w:hAnsi="Arial" w:cs="Arial"/>
                      <w:b/>
                    </w:rPr>
                  </w:pPr>
                  <w:r w:rsidRPr="005743AA">
                    <w:rPr>
                      <w:rFonts w:ascii="Arial" w:hAnsi="Arial" w:cs="Arial"/>
                      <w:b/>
                    </w:rPr>
                    <w:t xml:space="preserve">Urban Marking Sheet </w:t>
                  </w:r>
                </w:p>
              </w:tc>
              <w:tc>
                <w:tcPr>
                  <w:tcW w:w="2693" w:type="dxa"/>
                </w:tcPr>
                <w:p w:rsidR="000B7CA5" w:rsidRPr="005743AA" w:rsidRDefault="000B7CA5" w:rsidP="00D43ABA">
                  <w:pPr>
                    <w:spacing w:before="120" w:after="120"/>
                    <w:rPr>
                      <w:rFonts w:ascii="Arial" w:hAnsi="Arial" w:cs="Arial"/>
                      <w:b/>
                    </w:rPr>
                  </w:pPr>
                  <w:r w:rsidRPr="005743AA">
                    <w:rPr>
                      <w:rFonts w:ascii="Arial" w:hAnsi="Arial" w:cs="Arial"/>
                      <w:b/>
                    </w:rPr>
                    <w:t xml:space="preserve">Standard Marking Sheet </w:t>
                  </w:r>
                </w:p>
              </w:tc>
            </w:tr>
            <w:tr w:rsidR="000B7CA5" w:rsidRPr="005743AA" w:rsidTr="005743AA">
              <w:tc>
                <w:tcPr>
                  <w:tcW w:w="1134" w:type="dxa"/>
                </w:tcPr>
                <w:p w:rsidR="000B7CA5" w:rsidRPr="005743AA" w:rsidRDefault="000B7CA5" w:rsidP="000B7CA5">
                  <w:pPr>
                    <w:pStyle w:val="ListParagraph"/>
                    <w:numPr>
                      <w:ilvl w:val="0"/>
                      <w:numId w:val="6"/>
                    </w:numPr>
                    <w:spacing w:before="120" w:after="120"/>
                    <w:rPr>
                      <w:rFonts w:ascii="Arial" w:hAnsi="Arial" w:cs="Arial"/>
                      <w:b/>
                    </w:rPr>
                  </w:pPr>
                  <w:r w:rsidRPr="005743AA">
                    <w:rPr>
                      <w:rFonts w:ascii="Arial" w:hAnsi="Arial" w:cs="Arial"/>
                      <w:b/>
                    </w:rPr>
                    <w:t>A3</w:t>
                  </w:r>
                </w:p>
              </w:tc>
              <w:tc>
                <w:tcPr>
                  <w:tcW w:w="2410" w:type="dxa"/>
                </w:tcPr>
                <w:p w:rsidR="000B7CA5" w:rsidRPr="007F6460" w:rsidRDefault="000B7CA5" w:rsidP="000B7CA5">
                  <w:pPr>
                    <w:spacing w:before="120" w:after="120"/>
                    <w:rPr>
                      <w:rFonts w:ascii="Arial" w:hAnsi="Arial" w:cs="Arial"/>
                    </w:rPr>
                  </w:pPr>
                  <w:r w:rsidRPr="007F6460">
                    <w:rPr>
                      <w:rFonts w:ascii="Arial" w:hAnsi="Arial" w:cs="Arial"/>
                    </w:rPr>
                    <w:t>Seasonal Displays</w:t>
                  </w:r>
                </w:p>
              </w:tc>
              <w:tc>
                <w:tcPr>
                  <w:tcW w:w="2693" w:type="dxa"/>
                </w:tcPr>
                <w:p w:rsidR="000B7CA5" w:rsidRPr="007F6460" w:rsidRDefault="000B7CA5" w:rsidP="00D43ABA">
                  <w:pPr>
                    <w:spacing w:before="120" w:after="120"/>
                    <w:rPr>
                      <w:rFonts w:ascii="Arial" w:hAnsi="Arial" w:cs="Arial"/>
                    </w:rPr>
                  </w:pPr>
                  <w:r w:rsidRPr="007F6460">
                    <w:rPr>
                      <w:rFonts w:ascii="Arial" w:hAnsi="Arial" w:cs="Arial"/>
                    </w:rPr>
                    <w:t>Plant Selection</w:t>
                  </w:r>
                </w:p>
              </w:tc>
            </w:tr>
            <w:tr w:rsidR="000B7CA5" w:rsidRPr="005743AA" w:rsidTr="005743AA">
              <w:tc>
                <w:tcPr>
                  <w:tcW w:w="1134" w:type="dxa"/>
                </w:tcPr>
                <w:p w:rsidR="000B7CA5" w:rsidRPr="005743AA" w:rsidRDefault="000B7CA5" w:rsidP="000B7CA5">
                  <w:pPr>
                    <w:pStyle w:val="ListParagraph"/>
                    <w:numPr>
                      <w:ilvl w:val="0"/>
                      <w:numId w:val="6"/>
                    </w:numPr>
                    <w:spacing w:before="120" w:after="120"/>
                    <w:rPr>
                      <w:rFonts w:ascii="Arial" w:hAnsi="Arial" w:cs="Arial"/>
                      <w:b/>
                    </w:rPr>
                  </w:pPr>
                  <w:r w:rsidRPr="005743AA">
                    <w:rPr>
                      <w:rFonts w:ascii="Arial" w:hAnsi="Arial" w:cs="Arial"/>
                      <w:b/>
                    </w:rPr>
                    <w:t>A4</w:t>
                  </w:r>
                </w:p>
              </w:tc>
              <w:tc>
                <w:tcPr>
                  <w:tcW w:w="2410" w:type="dxa"/>
                </w:tcPr>
                <w:p w:rsidR="000B7CA5" w:rsidRPr="007F6460" w:rsidRDefault="000B7CA5" w:rsidP="00D43ABA">
                  <w:pPr>
                    <w:spacing w:before="120" w:after="120"/>
                    <w:rPr>
                      <w:rFonts w:ascii="Arial" w:hAnsi="Arial" w:cs="Arial"/>
                    </w:rPr>
                  </w:pPr>
                  <w:r w:rsidRPr="007F6460">
                    <w:rPr>
                      <w:rFonts w:ascii="Arial" w:hAnsi="Arial" w:cs="Arial"/>
                    </w:rPr>
                    <w:t xml:space="preserve">Plant Selection and Quality </w:t>
                  </w:r>
                </w:p>
              </w:tc>
              <w:tc>
                <w:tcPr>
                  <w:tcW w:w="2693" w:type="dxa"/>
                </w:tcPr>
                <w:p w:rsidR="000B7CA5" w:rsidRPr="007F6460" w:rsidRDefault="000B7CA5" w:rsidP="00D43ABA">
                  <w:pPr>
                    <w:spacing w:before="120" w:after="120"/>
                    <w:rPr>
                      <w:rFonts w:ascii="Arial" w:hAnsi="Arial" w:cs="Arial"/>
                    </w:rPr>
                  </w:pPr>
                  <w:r w:rsidRPr="007F6460">
                    <w:rPr>
                      <w:rFonts w:ascii="Arial" w:hAnsi="Arial" w:cs="Arial"/>
                    </w:rPr>
                    <w:t xml:space="preserve">Plant Quality </w:t>
                  </w:r>
                </w:p>
              </w:tc>
            </w:tr>
            <w:tr w:rsidR="000B7CA5" w:rsidRPr="005743AA" w:rsidTr="005743AA">
              <w:tc>
                <w:tcPr>
                  <w:tcW w:w="1134" w:type="dxa"/>
                </w:tcPr>
                <w:p w:rsidR="000B7CA5" w:rsidRPr="005743AA" w:rsidRDefault="000B7CA5" w:rsidP="000B7CA5">
                  <w:pPr>
                    <w:pStyle w:val="ListParagraph"/>
                    <w:numPr>
                      <w:ilvl w:val="0"/>
                      <w:numId w:val="6"/>
                    </w:numPr>
                    <w:spacing w:before="120" w:after="120"/>
                    <w:rPr>
                      <w:rFonts w:ascii="Arial" w:hAnsi="Arial" w:cs="Arial"/>
                      <w:b/>
                    </w:rPr>
                  </w:pPr>
                  <w:r w:rsidRPr="005743AA">
                    <w:rPr>
                      <w:rFonts w:ascii="Arial" w:hAnsi="Arial" w:cs="Arial"/>
                      <w:b/>
                    </w:rPr>
                    <w:t>B2</w:t>
                  </w:r>
                </w:p>
              </w:tc>
              <w:tc>
                <w:tcPr>
                  <w:tcW w:w="2410" w:type="dxa"/>
                </w:tcPr>
                <w:p w:rsidR="000B7CA5" w:rsidRPr="007F6460" w:rsidRDefault="000B7CA5" w:rsidP="00D43ABA">
                  <w:pPr>
                    <w:spacing w:before="120" w:after="120"/>
                    <w:rPr>
                      <w:rFonts w:ascii="Arial" w:hAnsi="Arial" w:cs="Arial"/>
                    </w:rPr>
                  </w:pPr>
                  <w:r w:rsidRPr="007F6460">
                    <w:rPr>
                      <w:rFonts w:ascii="Arial" w:hAnsi="Arial" w:cs="Arial"/>
                    </w:rPr>
                    <w:t xml:space="preserve">Built Environment </w:t>
                  </w:r>
                </w:p>
              </w:tc>
              <w:tc>
                <w:tcPr>
                  <w:tcW w:w="2693" w:type="dxa"/>
                </w:tcPr>
                <w:p w:rsidR="000B7CA5" w:rsidRPr="007F6460" w:rsidRDefault="000B7CA5" w:rsidP="000B7CA5">
                  <w:pPr>
                    <w:spacing w:before="120" w:after="120"/>
                    <w:rPr>
                      <w:rFonts w:ascii="Arial" w:hAnsi="Arial" w:cs="Arial"/>
                    </w:rPr>
                  </w:pPr>
                  <w:r w:rsidRPr="007F6460">
                    <w:rPr>
                      <w:rFonts w:ascii="Arial" w:hAnsi="Arial" w:cs="Arial"/>
                    </w:rPr>
                    <w:t>Natural Environment</w:t>
                  </w:r>
                </w:p>
              </w:tc>
            </w:tr>
            <w:tr w:rsidR="005743AA" w:rsidRPr="005743AA" w:rsidTr="005743AA">
              <w:tc>
                <w:tcPr>
                  <w:tcW w:w="1134" w:type="dxa"/>
                </w:tcPr>
                <w:p w:rsidR="005743AA" w:rsidRPr="005743AA" w:rsidRDefault="005743AA" w:rsidP="000B7CA5">
                  <w:pPr>
                    <w:pStyle w:val="ListParagraph"/>
                    <w:numPr>
                      <w:ilvl w:val="0"/>
                      <w:numId w:val="6"/>
                    </w:numPr>
                    <w:spacing w:before="120" w:after="120"/>
                    <w:rPr>
                      <w:rFonts w:ascii="Arial" w:hAnsi="Arial" w:cs="Arial"/>
                      <w:b/>
                    </w:rPr>
                  </w:pPr>
                  <w:r w:rsidRPr="005743AA">
                    <w:rPr>
                      <w:rFonts w:ascii="Arial" w:hAnsi="Arial" w:cs="Arial"/>
                      <w:b/>
                    </w:rPr>
                    <w:t>B3</w:t>
                  </w:r>
                </w:p>
              </w:tc>
              <w:tc>
                <w:tcPr>
                  <w:tcW w:w="2410" w:type="dxa"/>
                </w:tcPr>
                <w:p w:rsidR="005743AA" w:rsidRPr="007F6460" w:rsidRDefault="005743AA" w:rsidP="00D43ABA">
                  <w:pPr>
                    <w:spacing w:before="120" w:after="120"/>
                    <w:rPr>
                      <w:rFonts w:ascii="Arial" w:hAnsi="Arial" w:cs="Arial"/>
                    </w:rPr>
                  </w:pPr>
                  <w:r w:rsidRPr="007F6460">
                    <w:rPr>
                      <w:rFonts w:ascii="Arial" w:hAnsi="Arial" w:cs="Arial"/>
                    </w:rPr>
                    <w:t xml:space="preserve">Hard Surfaces </w:t>
                  </w:r>
                </w:p>
              </w:tc>
              <w:tc>
                <w:tcPr>
                  <w:tcW w:w="2693" w:type="dxa"/>
                </w:tcPr>
                <w:p w:rsidR="005743AA" w:rsidRPr="007F6460" w:rsidRDefault="005743AA" w:rsidP="000B7CA5">
                  <w:pPr>
                    <w:spacing w:before="120" w:after="120"/>
                    <w:rPr>
                      <w:rFonts w:ascii="Arial" w:hAnsi="Arial" w:cs="Arial"/>
                    </w:rPr>
                  </w:pPr>
                  <w:r w:rsidRPr="007F6460">
                    <w:rPr>
                      <w:rFonts w:ascii="Arial" w:hAnsi="Arial" w:cs="Arial"/>
                    </w:rPr>
                    <w:t>Hard Surfaces and Open Grass Areas</w:t>
                  </w:r>
                </w:p>
              </w:tc>
            </w:tr>
          </w:tbl>
          <w:p w:rsidR="00A65AC6" w:rsidRPr="007F6460" w:rsidRDefault="00ED6C2D" w:rsidP="00ED6C2D">
            <w:pPr>
              <w:spacing w:before="120" w:after="120"/>
              <w:rPr>
                <w:rFonts w:ascii="Arial" w:hAnsi="Arial" w:cs="Arial"/>
              </w:rPr>
            </w:pPr>
            <w:r>
              <w:rPr>
                <w:rFonts w:ascii="Arial" w:hAnsi="Arial" w:cs="Arial"/>
              </w:rPr>
              <w:t xml:space="preserve">There are some other minor text differences between the two marking sheets. </w:t>
            </w:r>
          </w:p>
        </w:tc>
      </w:tr>
      <w:tr w:rsidR="00A65AC6" w:rsidRPr="008244F2" w:rsidTr="008244F2">
        <w:tc>
          <w:tcPr>
            <w:tcW w:w="988" w:type="dxa"/>
          </w:tcPr>
          <w:p w:rsidR="00A65AC6" w:rsidRPr="00D43ABA" w:rsidRDefault="00684218" w:rsidP="003805F6">
            <w:pPr>
              <w:spacing w:before="120" w:after="120"/>
              <w:rPr>
                <w:rFonts w:ascii="Arial" w:hAnsi="Arial" w:cs="Arial"/>
                <w:b/>
              </w:rPr>
            </w:pPr>
            <w:r w:rsidRPr="00D43ABA">
              <w:rPr>
                <w:rFonts w:ascii="Arial" w:hAnsi="Arial" w:cs="Arial"/>
                <w:b/>
              </w:rPr>
              <w:t>Q6.</w:t>
            </w:r>
          </w:p>
        </w:tc>
        <w:tc>
          <w:tcPr>
            <w:tcW w:w="8028" w:type="dxa"/>
          </w:tcPr>
          <w:p w:rsidR="00A65AC6" w:rsidRPr="007F6460" w:rsidRDefault="00684218" w:rsidP="003805F6">
            <w:pPr>
              <w:spacing w:before="120" w:after="120"/>
              <w:rPr>
                <w:rFonts w:ascii="Arial" w:hAnsi="Arial" w:cs="Arial"/>
                <w:b/>
              </w:rPr>
            </w:pPr>
            <w:r w:rsidRPr="007F6460">
              <w:rPr>
                <w:rFonts w:ascii="Arial" w:hAnsi="Arial" w:cs="Arial"/>
                <w:b/>
              </w:rPr>
              <w:t>Will all the Regions and Nations be using the new marking criteria?</w:t>
            </w:r>
          </w:p>
        </w:tc>
      </w:tr>
      <w:tr w:rsidR="003805F6" w:rsidRPr="008244F2" w:rsidTr="008244F2">
        <w:tc>
          <w:tcPr>
            <w:tcW w:w="988" w:type="dxa"/>
          </w:tcPr>
          <w:p w:rsidR="003805F6" w:rsidRPr="00D43ABA" w:rsidRDefault="00684218" w:rsidP="003805F6">
            <w:pPr>
              <w:spacing w:before="120" w:after="120"/>
              <w:rPr>
                <w:rFonts w:ascii="Arial" w:hAnsi="Arial" w:cs="Arial"/>
                <w:b/>
              </w:rPr>
            </w:pPr>
            <w:r w:rsidRPr="00D43ABA">
              <w:rPr>
                <w:rFonts w:ascii="Arial" w:hAnsi="Arial" w:cs="Arial"/>
                <w:b/>
              </w:rPr>
              <w:t xml:space="preserve">Q6A. </w:t>
            </w:r>
          </w:p>
        </w:tc>
        <w:tc>
          <w:tcPr>
            <w:tcW w:w="8028" w:type="dxa"/>
          </w:tcPr>
          <w:p w:rsidR="00B67F8C" w:rsidRPr="007F6460" w:rsidRDefault="00684218" w:rsidP="00B67F8C">
            <w:pPr>
              <w:spacing w:before="120" w:after="120"/>
              <w:rPr>
                <w:rFonts w:ascii="Arial" w:hAnsi="Arial" w:cs="Arial"/>
              </w:rPr>
            </w:pPr>
            <w:r w:rsidRPr="007F6460">
              <w:rPr>
                <w:rFonts w:ascii="Arial" w:hAnsi="Arial" w:cs="Arial"/>
              </w:rPr>
              <w:t xml:space="preserve">Each Region and Nation is approaching the new marking criteria differently. </w:t>
            </w:r>
          </w:p>
          <w:p w:rsidR="00D43ABA" w:rsidRPr="007F6460" w:rsidRDefault="00684218" w:rsidP="00B67F8C">
            <w:pPr>
              <w:pStyle w:val="ListParagraph"/>
              <w:numPr>
                <w:ilvl w:val="0"/>
                <w:numId w:val="4"/>
              </w:numPr>
              <w:spacing w:before="120" w:after="120"/>
              <w:rPr>
                <w:rFonts w:ascii="Arial" w:hAnsi="Arial" w:cs="Arial"/>
              </w:rPr>
            </w:pPr>
            <w:r w:rsidRPr="007F6460">
              <w:rPr>
                <w:rFonts w:ascii="Arial" w:hAnsi="Arial" w:cs="Arial"/>
              </w:rPr>
              <w:t xml:space="preserve">Some of the Regions and Nations </w:t>
            </w:r>
            <w:r w:rsidR="00ED6C2D">
              <w:rPr>
                <w:rFonts w:ascii="Arial" w:hAnsi="Arial" w:cs="Arial"/>
              </w:rPr>
              <w:t xml:space="preserve">are </w:t>
            </w:r>
            <w:r w:rsidRPr="007F6460">
              <w:rPr>
                <w:rFonts w:ascii="Arial" w:hAnsi="Arial" w:cs="Arial"/>
              </w:rPr>
              <w:t xml:space="preserve">already </w:t>
            </w:r>
            <w:r w:rsidR="00ED6C2D">
              <w:rPr>
                <w:rFonts w:ascii="Arial" w:hAnsi="Arial" w:cs="Arial"/>
              </w:rPr>
              <w:t>u</w:t>
            </w:r>
            <w:r w:rsidRPr="007F6460">
              <w:rPr>
                <w:rFonts w:ascii="Arial" w:hAnsi="Arial" w:cs="Arial"/>
              </w:rPr>
              <w:t>sing the new marking criteria</w:t>
            </w:r>
            <w:r w:rsidR="00ED6C2D">
              <w:rPr>
                <w:rFonts w:ascii="Arial" w:hAnsi="Arial" w:cs="Arial"/>
              </w:rPr>
              <w:t>, some have been for</w:t>
            </w:r>
            <w:r w:rsidRPr="007F6460">
              <w:rPr>
                <w:rFonts w:ascii="Arial" w:hAnsi="Arial" w:cs="Arial"/>
              </w:rPr>
              <w:t xml:space="preserve"> several years</w:t>
            </w:r>
            <w:r w:rsidR="00D43ABA" w:rsidRPr="007F6460">
              <w:rPr>
                <w:rFonts w:ascii="Arial" w:hAnsi="Arial" w:cs="Arial"/>
              </w:rPr>
              <w:t>;</w:t>
            </w:r>
          </w:p>
          <w:p w:rsidR="00D43ABA" w:rsidRPr="007F6460" w:rsidRDefault="00D43ABA" w:rsidP="00D43ABA">
            <w:pPr>
              <w:pStyle w:val="ListParagraph"/>
              <w:numPr>
                <w:ilvl w:val="0"/>
                <w:numId w:val="4"/>
              </w:numPr>
              <w:spacing w:before="120" w:after="120"/>
              <w:rPr>
                <w:rFonts w:ascii="Arial" w:hAnsi="Arial" w:cs="Arial"/>
              </w:rPr>
            </w:pPr>
            <w:r w:rsidRPr="007F6460">
              <w:rPr>
                <w:rFonts w:ascii="Arial" w:hAnsi="Arial" w:cs="Arial"/>
              </w:rPr>
              <w:t xml:space="preserve">Most </w:t>
            </w:r>
            <w:r w:rsidR="00684218" w:rsidRPr="007F6460">
              <w:rPr>
                <w:rFonts w:ascii="Arial" w:hAnsi="Arial" w:cs="Arial"/>
              </w:rPr>
              <w:t xml:space="preserve">are adopting it </w:t>
            </w:r>
            <w:r w:rsidRPr="007F6460">
              <w:rPr>
                <w:rFonts w:ascii="Arial" w:hAnsi="Arial" w:cs="Arial"/>
              </w:rPr>
              <w:t xml:space="preserve">in 2019 </w:t>
            </w:r>
            <w:r w:rsidR="00684218" w:rsidRPr="007F6460">
              <w:rPr>
                <w:rFonts w:ascii="Arial" w:hAnsi="Arial" w:cs="Arial"/>
              </w:rPr>
              <w:t xml:space="preserve">at the same time as the </w:t>
            </w:r>
            <w:r w:rsidRPr="007F6460">
              <w:rPr>
                <w:rFonts w:ascii="Arial" w:hAnsi="Arial" w:cs="Arial"/>
              </w:rPr>
              <w:t xml:space="preserve">RHS </w:t>
            </w:r>
            <w:r w:rsidR="00ED6C2D">
              <w:rPr>
                <w:rFonts w:ascii="Arial" w:hAnsi="Arial" w:cs="Arial"/>
              </w:rPr>
              <w:t xml:space="preserve">is using it </w:t>
            </w:r>
            <w:r w:rsidRPr="007F6460">
              <w:rPr>
                <w:rFonts w:ascii="Arial" w:hAnsi="Arial" w:cs="Arial"/>
              </w:rPr>
              <w:t xml:space="preserve">for the UK Finals; </w:t>
            </w:r>
          </w:p>
          <w:p w:rsidR="00D43ABA" w:rsidRPr="007F6460" w:rsidRDefault="00D43ABA" w:rsidP="00D43ABA">
            <w:pPr>
              <w:pStyle w:val="ListParagraph"/>
              <w:numPr>
                <w:ilvl w:val="0"/>
                <w:numId w:val="4"/>
              </w:numPr>
              <w:spacing w:before="120" w:after="120"/>
              <w:rPr>
                <w:rFonts w:ascii="Arial" w:hAnsi="Arial" w:cs="Arial"/>
              </w:rPr>
            </w:pPr>
            <w:r w:rsidRPr="007F6460">
              <w:rPr>
                <w:rFonts w:ascii="Arial" w:hAnsi="Arial" w:cs="Arial"/>
              </w:rPr>
              <w:t xml:space="preserve">Others will </w:t>
            </w:r>
            <w:r w:rsidR="00ED6C2D">
              <w:rPr>
                <w:rFonts w:ascii="Arial" w:hAnsi="Arial" w:cs="Arial"/>
              </w:rPr>
              <w:t xml:space="preserve">dictate </w:t>
            </w:r>
            <w:r w:rsidRPr="007F6460">
              <w:rPr>
                <w:rFonts w:ascii="Arial" w:hAnsi="Arial" w:cs="Arial"/>
              </w:rPr>
              <w:t xml:space="preserve">their own pace of change. </w:t>
            </w:r>
          </w:p>
          <w:p w:rsidR="003805F6" w:rsidRPr="00D43ABA" w:rsidRDefault="00D43ABA" w:rsidP="00ED6C2D">
            <w:pPr>
              <w:spacing w:before="120" w:after="120"/>
              <w:rPr>
                <w:rFonts w:ascii="Arial" w:hAnsi="Arial" w:cs="Arial"/>
              </w:rPr>
            </w:pPr>
            <w:r w:rsidRPr="007F6460">
              <w:rPr>
                <w:rFonts w:ascii="Arial" w:hAnsi="Arial" w:cs="Arial"/>
              </w:rPr>
              <w:lastRenderedPageBreak/>
              <w:t>If you are uncertain about your area please do contact your local Region</w:t>
            </w:r>
            <w:r w:rsidR="00ED6C2D">
              <w:rPr>
                <w:rFonts w:ascii="Arial" w:hAnsi="Arial" w:cs="Arial"/>
              </w:rPr>
              <w:t>al</w:t>
            </w:r>
            <w:r w:rsidRPr="007F6460">
              <w:rPr>
                <w:rFonts w:ascii="Arial" w:hAnsi="Arial" w:cs="Arial"/>
              </w:rPr>
              <w:t xml:space="preserve"> or Nation</w:t>
            </w:r>
            <w:r w:rsidR="00ED6C2D">
              <w:rPr>
                <w:rFonts w:ascii="Arial" w:hAnsi="Arial" w:cs="Arial"/>
              </w:rPr>
              <w:t>al coordinator. A full list of contact details is available here</w:t>
            </w:r>
            <w:r w:rsidRPr="007F6460">
              <w:rPr>
                <w:rFonts w:ascii="Arial" w:hAnsi="Arial" w:cs="Arial"/>
              </w:rPr>
              <w:t xml:space="preserve">: </w:t>
            </w:r>
            <w:hyperlink r:id="rId9" w:history="1">
              <w:r w:rsidRPr="007F6460">
                <w:rPr>
                  <w:rStyle w:val="Hyperlink"/>
                  <w:rFonts w:ascii="Arial" w:hAnsi="Arial" w:cs="Arial"/>
                </w:rPr>
                <w:t>https://www.rhs.org.uk/get-involved/britain-in-bloom/register</w:t>
              </w:r>
            </w:hyperlink>
            <w:r>
              <w:rPr>
                <w:rFonts w:ascii="Arial" w:hAnsi="Arial" w:cs="Arial"/>
              </w:rPr>
              <w:t xml:space="preserve">  </w:t>
            </w:r>
            <w:r w:rsidR="00684218" w:rsidRPr="00D43ABA">
              <w:rPr>
                <w:rFonts w:ascii="Arial" w:hAnsi="Arial" w:cs="Arial"/>
              </w:rPr>
              <w:t xml:space="preserve"> </w:t>
            </w:r>
          </w:p>
        </w:tc>
      </w:tr>
      <w:tr w:rsidR="003805F6" w:rsidRPr="008244F2" w:rsidTr="00CD023D">
        <w:tc>
          <w:tcPr>
            <w:tcW w:w="9016" w:type="dxa"/>
            <w:gridSpan w:val="2"/>
            <w:shd w:val="clear" w:color="auto" w:fill="D5FFEA"/>
          </w:tcPr>
          <w:p w:rsidR="003805F6" w:rsidRPr="003805F6" w:rsidRDefault="003805F6" w:rsidP="003805F6">
            <w:pPr>
              <w:spacing w:before="120" w:after="120"/>
              <w:rPr>
                <w:rFonts w:ascii="Arial" w:hAnsi="Arial" w:cs="Arial"/>
                <w:b/>
              </w:rPr>
            </w:pPr>
            <w:r w:rsidRPr="003805F6">
              <w:rPr>
                <w:rFonts w:ascii="Arial" w:hAnsi="Arial" w:cs="Arial"/>
                <w:b/>
              </w:rPr>
              <w:lastRenderedPageBreak/>
              <w:t>Using the New Marking Sheets</w:t>
            </w:r>
            <w:r w:rsidR="00A65AC6">
              <w:rPr>
                <w:rFonts w:ascii="Arial" w:hAnsi="Arial" w:cs="Arial"/>
                <w:b/>
              </w:rPr>
              <w:t>:</w:t>
            </w:r>
            <w:r w:rsidRPr="003805F6">
              <w:rPr>
                <w:rFonts w:ascii="Arial" w:hAnsi="Arial" w:cs="Arial"/>
                <w:b/>
              </w:rPr>
              <w:t xml:space="preserve"> </w:t>
            </w:r>
          </w:p>
        </w:tc>
      </w:tr>
      <w:tr w:rsidR="003805F6" w:rsidRPr="008244F2" w:rsidTr="008244F2">
        <w:tc>
          <w:tcPr>
            <w:tcW w:w="988" w:type="dxa"/>
          </w:tcPr>
          <w:p w:rsidR="003805F6" w:rsidRPr="003D2C49" w:rsidRDefault="003805F6" w:rsidP="003D2C49">
            <w:pPr>
              <w:spacing w:before="120" w:after="120"/>
              <w:rPr>
                <w:rFonts w:ascii="Arial" w:hAnsi="Arial" w:cs="Arial"/>
                <w:b/>
              </w:rPr>
            </w:pPr>
            <w:r w:rsidRPr="003D2C49">
              <w:rPr>
                <w:rFonts w:ascii="Arial" w:hAnsi="Arial" w:cs="Arial"/>
                <w:b/>
              </w:rPr>
              <w:t>Q</w:t>
            </w:r>
            <w:r w:rsidR="003D2C49" w:rsidRPr="003D2C49">
              <w:rPr>
                <w:rFonts w:ascii="Arial" w:hAnsi="Arial" w:cs="Arial"/>
                <w:b/>
              </w:rPr>
              <w:t>7</w:t>
            </w:r>
            <w:r w:rsidRPr="003D2C49">
              <w:rPr>
                <w:rFonts w:ascii="Arial" w:hAnsi="Arial" w:cs="Arial"/>
                <w:b/>
              </w:rPr>
              <w:t>.</w:t>
            </w:r>
          </w:p>
        </w:tc>
        <w:tc>
          <w:tcPr>
            <w:tcW w:w="8028" w:type="dxa"/>
          </w:tcPr>
          <w:p w:rsidR="003805F6" w:rsidRPr="003D2C49" w:rsidRDefault="003805F6" w:rsidP="003805F6">
            <w:pPr>
              <w:spacing w:before="120" w:after="120"/>
              <w:rPr>
                <w:rFonts w:ascii="Arial" w:hAnsi="Arial" w:cs="Arial"/>
                <w:b/>
              </w:rPr>
            </w:pPr>
            <w:r w:rsidRPr="003D2C49">
              <w:rPr>
                <w:rFonts w:ascii="Arial" w:hAnsi="Arial" w:cs="Arial"/>
                <w:b/>
              </w:rPr>
              <w:t>What has changed about the marking sheet itself?</w:t>
            </w:r>
          </w:p>
        </w:tc>
      </w:tr>
      <w:tr w:rsidR="003805F6" w:rsidRPr="008244F2" w:rsidTr="008244F2">
        <w:tc>
          <w:tcPr>
            <w:tcW w:w="988" w:type="dxa"/>
          </w:tcPr>
          <w:p w:rsidR="003805F6" w:rsidRPr="005A4934" w:rsidRDefault="003805F6" w:rsidP="003D2C49">
            <w:pPr>
              <w:spacing w:before="120" w:after="120"/>
              <w:rPr>
                <w:rFonts w:ascii="Arial" w:hAnsi="Arial" w:cs="Arial"/>
                <w:b/>
              </w:rPr>
            </w:pPr>
            <w:r w:rsidRPr="005A4934">
              <w:rPr>
                <w:rFonts w:ascii="Arial" w:hAnsi="Arial" w:cs="Arial"/>
                <w:b/>
              </w:rPr>
              <w:t>Q</w:t>
            </w:r>
            <w:r w:rsidR="003D2C49" w:rsidRPr="005A4934">
              <w:rPr>
                <w:rFonts w:ascii="Arial" w:hAnsi="Arial" w:cs="Arial"/>
                <w:b/>
              </w:rPr>
              <w:t>7</w:t>
            </w:r>
            <w:r w:rsidRPr="005A4934">
              <w:rPr>
                <w:rFonts w:ascii="Arial" w:hAnsi="Arial" w:cs="Arial"/>
                <w:b/>
              </w:rPr>
              <w:t>A.</w:t>
            </w:r>
          </w:p>
        </w:tc>
        <w:tc>
          <w:tcPr>
            <w:tcW w:w="8028" w:type="dxa"/>
          </w:tcPr>
          <w:p w:rsidR="003805F6" w:rsidRDefault="003D2C49" w:rsidP="003D2C49">
            <w:pPr>
              <w:pStyle w:val="ListParagraph"/>
              <w:numPr>
                <w:ilvl w:val="0"/>
                <w:numId w:val="8"/>
              </w:numPr>
              <w:spacing w:before="120" w:after="120"/>
              <w:rPr>
                <w:rFonts w:ascii="Arial" w:hAnsi="Arial" w:cs="Arial"/>
              </w:rPr>
            </w:pPr>
            <w:r>
              <w:rPr>
                <w:rFonts w:ascii="Arial" w:hAnsi="Arial" w:cs="Arial"/>
              </w:rPr>
              <w:t>Each sub section is scored out of 10 points instead of the previous 20.</w:t>
            </w:r>
          </w:p>
          <w:p w:rsidR="003D2C49" w:rsidRDefault="003D2C49" w:rsidP="003D2C49">
            <w:pPr>
              <w:pStyle w:val="ListParagraph"/>
              <w:numPr>
                <w:ilvl w:val="0"/>
                <w:numId w:val="8"/>
              </w:numPr>
              <w:spacing w:before="120" w:after="120"/>
              <w:rPr>
                <w:rFonts w:ascii="Arial" w:hAnsi="Arial" w:cs="Arial"/>
              </w:rPr>
            </w:pPr>
            <w:r>
              <w:rPr>
                <w:rFonts w:ascii="Arial" w:hAnsi="Arial" w:cs="Arial"/>
              </w:rPr>
              <w:t xml:space="preserve">The overall score for each entry is out of 100 instead of the previous 200. </w:t>
            </w:r>
          </w:p>
          <w:p w:rsidR="003D2C49" w:rsidRDefault="003D2C49" w:rsidP="003D2C49">
            <w:pPr>
              <w:pStyle w:val="ListParagraph"/>
              <w:numPr>
                <w:ilvl w:val="0"/>
                <w:numId w:val="8"/>
              </w:numPr>
              <w:spacing w:before="120" w:after="120"/>
              <w:rPr>
                <w:rFonts w:ascii="Arial" w:hAnsi="Arial" w:cs="Arial"/>
              </w:rPr>
            </w:pPr>
            <w:r>
              <w:rPr>
                <w:rFonts w:ascii="Arial" w:hAnsi="Arial" w:cs="Arial"/>
              </w:rPr>
              <w:t xml:space="preserve">Descriptions of what the judges expect to see for each score are included in the marking sheet.  </w:t>
            </w:r>
          </w:p>
          <w:p w:rsidR="00ED6C2D" w:rsidRPr="00ED6C2D" w:rsidRDefault="003D2C49" w:rsidP="00ED6C2D">
            <w:pPr>
              <w:pStyle w:val="ListParagraph"/>
              <w:numPr>
                <w:ilvl w:val="0"/>
                <w:numId w:val="8"/>
              </w:numPr>
              <w:spacing w:before="120" w:after="120"/>
              <w:rPr>
                <w:rFonts w:ascii="Arial" w:hAnsi="Arial" w:cs="Arial"/>
              </w:rPr>
            </w:pPr>
            <w:r>
              <w:rPr>
                <w:rFonts w:ascii="Arial" w:hAnsi="Arial" w:cs="Arial"/>
              </w:rPr>
              <w:t xml:space="preserve">The language is designed to be clear and simple to reduce subjectivity and help judges assess consistently. </w:t>
            </w:r>
          </w:p>
        </w:tc>
      </w:tr>
      <w:tr w:rsidR="003A4801" w:rsidRPr="008244F2" w:rsidTr="008244F2">
        <w:tc>
          <w:tcPr>
            <w:tcW w:w="988" w:type="dxa"/>
          </w:tcPr>
          <w:p w:rsidR="003A4801" w:rsidRPr="003D2C49" w:rsidRDefault="003A4801" w:rsidP="003D2C49">
            <w:pPr>
              <w:spacing w:before="120" w:after="120"/>
              <w:rPr>
                <w:rFonts w:ascii="Arial" w:hAnsi="Arial" w:cs="Arial"/>
                <w:b/>
              </w:rPr>
            </w:pPr>
            <w:r>
              <w:rPr>
                <w:rFonts w:ascii="Arial" w:hAnsi="Arial" w:cs="Arial"/>
                <w:b/>
              </w:rPr>
              <w:t>Q8.</w:t>
            </w:r>
          </w:p>
        </w:tc>
        <w:tc>
          <w:tcPr>
            <w:tcW w:w="8028" w:type="dxa"/>
          </w:tcPr>
          <w:p w:rsidR="003A4801" w:rsidRPr="003D2C49" w:rsidRDefault="003A4801" w:rsidP="00FA306B">
            <w:pPr>
              <w:spacing w:before="120" w:after="120"/>
              <w:rPr>
                <w:rFonts w:ascii="Arial" w:hAnsi="Arial" w:cs="Arial"/>
                <w:b/>
              </w:rPr>
            </w:pPr>
            <w:r>
              <w:rPr>
                <w:rFonts w:ascii="Arial" w:hAnsi="Arial" w:cs="Arial"/>
                <w:b/>
              </w:rPr>
              <w:t xml:space="preserve">Will entrants find it difficult to change over from the old to the new marking </w:t>
            </w:r>
            <w:r w:rsidR="00FA306B">
              <w:rPr>
                <w:rFonts w:ascii="Arial" w:hAnsi="Arial" w:cs="Arial"/>
                <w:b/>
              </w:rPr>
              <w:t>sheet</w:t>
            </w:r>
            <w:r>
              <w:rPr>
                <w:rFonts w:ascii="Arial" w:hAnsi="Arial" w:cs="Arial"/>
                <w:b/>
              </w:rPr>
              <w:t>?</w:t>
            </w:r>
          </w:p>
        </w:tc>
      </w:tr>
      <w:tr w:rsidR="003A4801" w:rsidRPr="008244F2" w:rsidTr="008244F2">
        <w:tc>
          <w:tcPr>
            <w:tcW w:w="988" w:type="dxa"/>
          </w:tcPr>
          <w:p w:rsidR="003A4801" w:rsidRPr="005A4934" w:rsidRDefault="003A4801" w:rsidP="003A4801">
            <w:pPr>
              <w:spacing w:before="120" w:after="120"/>
              <w:rPr>
                <w:rFonts w:ascii="Arial" w:hAnsi="Arial" w:cs="Arial"/>
                <w:b/>
              </w:rPr>
            </w:pPr>
            <w:r w:rsidRPr="005A4934">
              <w:rPr>
                <w:rFonts w:ascii="Arial" w:hAnsi="Arial" w:cs="Arial"/>
                <w:b/>
              </w:rPr>
              <w:t>Q8A.</w:t>
            </w:r>
          </w:p>
        </w:tc>
        <w:tc>
          <w:tcPr>
            <w:tcW w:w="8028" w:type="dxa"/>
          </w:tcPr>
          <w:p w:rsidR="005B3BD3" w:rsidRDefault="005B3BD3" w:rsidP="003A4801">
            <w:pPr>
              <w:spacing w:before="120" w:after="120"/>
              <w:rPr>
                <w:rFonts w:ascii="Arial" w:hAnsi="Arial" w:cs="Arial"/>
              </w:rPr>
            </w:pPr>
            <w:r>
              <w:rPr>
                <w:rFonts w:ascii="Arial" w:hAnsi="Arial" w:cs="Arial"/>
              </w:rPr>
              <w:t xml:space="preserve">We do not anticipate any specific challenges for entrants moving from the old to the new marking sheet. </w:t>
            </w:r>
          </w:p>
          <w:p w:rsidR="005B3BD3" w:rsidRDefault="005B3BD3" w:rsidP="003A4801">
            <w:pPr>
              <w:spacing w:before="120" w:after="120"/>
              <w:rPr>
                <w:rFonts w:ascii="Arial" w:hAnsi="Arial" w:cs="Arial"/>
              </w:rPr>
            </w:pPr>
            <w:r>
              <w:rPr>
                <w:rFonts w:ascii="Arial" w:hAnsi="Arial" w:cs="Arial"/>
              </w:rPr>
              <w:t>Those who have done so previously (e.g. The 2018 UK Finalist ‘BID/</w:t>
            </w:r>
            <w:r w:rsidR="003A4801" w:rsidRPr="007F6460">
              <w:rPr>
                <w:rFonts w:ascii="Arial" w:hAnsi="Arial" w:cs="Arial"/>
              </w:rPr>
              <w:t xml:space="preserve"> Town Centre/ City Centre’ category entrants </w:t>
            </w:r>
            <w:r>
              <w:rPr>
                <w:rFonts w:ascii="Arial" w:hAnsi="Arial" w:cs="Arial"/>
              </w:rPr>
              <w:t xml:space="preserve">and </w:t>
            </w:r>
            <w:r w:rsidR="00FA306B">
              <w:rPr>
                <w:rFonts w:ascii="Arial" w:hAnsi="Arial" w:cs="Arial"/>
              </w:rPr>
              <w:t xml:space="preserve">regional Bloom </w:t>
            </w:r>
            <w:r>
              <w:rPr>
                <w:rFonts w:ascii="Arial" w:hAnsi="Arial" w:cs="Arial"/>
              </w:rPr>
              <w:t xml:space="preserve">entrants in Yorkshire) have not encountered any specific challenges when moving to the new criteria. </w:t>
            </w:r>
          </w:p>
          <w:p w:rsidR="005B3BD3" w:rsidRDefault="005B3BD3" w:rsidP="003A4801">
            <w:pPr>
              <w:spacing w:before="120" w:after="120"/>
              <w:rPr>
                <w:rFonts w:ascii="Arial" w:hAnsi="Arial" w:cs="Arial"/>
              </w:rPr>
            </w:pPr>
            <w:r>
              <w:rPr>
                <w:rFonts w:ascii="Arial" w:hAnsi="Arial" w:cs="Arial"/>
              </w:rPr>
              <w:t xml:space="preserve">Training will be offered at most regional seminars and the UK Finals seminar in 2019. </w:t>
            </w:r>
          </w:p>
          <w:p w:rsidR="003A4801" w:rsidRPr="003D2C49" w:rsidRDefault="005B3BD3" w:rsidP="00FA306B">
            <w:pPr>
              <w:spacing w:before="120" w:after="120"/>
              <w:rPr>
                <w:rFonts w:ascii="Arial" w:hAnsi="Arial" w:cs="Arial"/>
                <w:b/>
              </w:rPr>
            </w:pPr>
            <w:r>
              <w:rPr>
                <w:rFonts w:ascii="Arial" w:hAnsi="Arial" w:cs="Arial"/>
              </w:rPr>
              <w:t xml:space="preserve">If you do have any </w:t>
            </w:r>
            <w:r w:rsidR="00A06FE7">
              <w:rPr>
                <w:rFonts w:ascii="Arial" w:hAnsi="Arial" w:cs="Arial"/>
              </w:rPr>
              <w:t>concerns</w:t>
            </w:r>
            <w:r>
              <w:rPr>
                <w:rFonts w:ascii="Arial" w:hAnsi="Arial" w:cs="Arial"/>
              </w:rPr>
              <w:t xml:space="preserve"> please do contact </w:t>
            </w:r>
            <w:r w:rsidR="00A06FE7">
              <w:rPr>
                <w:rFonts w:ascii="Arial" w:hAnsi="Arial" w:cs="Arial"/>
              </w:rPr>
              <w:t xml:space="preserve">either </w:t>
            </w:r>
            <w:r>
              <w:rPr>
                <w:rFonts w:ascii="Arial" w:hAnsi="Arial" w:cs="Arial"/>
              </w:rPr>
              <w:t xml:space="preserve">the RHS Communities </w:t>
            </w:r>
            <w:r w:rsidR="00A06FE7">
              <w:rPr>
                <w:rFonts w:ascii="Arial" w:hAnsi="Arial" w:cs="Arial"/>
              </w:rPr>
              <w:t>T</w:t>
            </w:r>
            <w:r>
              <w:rPr>
                <w:rFonts w:ascii="Arial" w:hAnsi="Arial" w:cs="Arial"/>
              </w:rPr>
              <w:t>eam</w:t>
            </w:r>
            <w:r w:rsidR="00FA306B">
              <w:rPr>
                <w:rFonts w:ascii="Arial" w:hAnsi="Arial" w:cs="Arial"/>
              </w:rPr>
              <w:t xml:space="preserve"> </w:t>
            </w:r>
            <w:r>
              <w:rPr>
                <w:rFonts w:ascii="Arial" w:hAnsi="Arial" w:cs="Arial"/>
              </w:rPr>
              <w:t>or your local regional coordinator</w:t>
            </w:r>
            <w:r w:rsidR="00FA306B">
              <w:rPr>
                <w:rFonts w:ascii="Arial" w:hAnsi="Arial" w:cs="Arial"/>
              </w:rPr>
              <w:t>. See point 12A below for contact details.</w:t>
            </w:r>
          </w:p>
        </w:tc>
      </w:tr>
      <w:tr w:rsidR="001A2900" w:rsidRPr="008244F2" w:rsidTr="008244F2">
        <w:tc>
          <w:tcPr>
            <w:tcW w:w="988" w:type="dxa"/>
          </w:tcPr>
          <w:p w:rsidR="001A2900" w:rsidRPr="003D2C49" w:rsidRDefault="001A2900" w:rsidP="003D2C49">
            <w:pPr>
              <w:spacing w:before="120" w:after="120"/>
              <w:rPr>
                <w:rFonts w:ascii="Arial" w:hAnsi="Arial" w:cs="Arial"/>
                <w:b/>
              </w:rPr>
            </w:pPr>
            <w:r>
              <w:rPr>
                <w:rFonts w:ascii="Arial" w:hAnsi="Arial" w:cs="Arial"/>
                <w:b/>
              </w:rPr>
              <w:t>Q9.</w:t>
            </w:r>
          </w:p>
        </w:tc>
        <w:tc>
          <w:tcPr>
            <w:tcW w:w="8028" w:type="dxa"/>
          </w:tcPr>
          <w:p w:rsidR="001A2900" w:rsidRPr="003D2C49" w:rsidRDefault="001A2900" w:rsidP="00CD1B20">
            <w:pPr>
              <w:spacing w:before="120" w:after="120"/>
              <w:rPr>
                <w:rFonts w:ascii="Arial" w:hAnsi="Arial" w:cs="Arial"/>
                <w:b/>
              </w:rPr>
            </w:pPr>
            <w:r>
              <w:rPr>
                <w:rFonts w:ascii="Arial" w:hAnsi="Arial" w:cs="Arial"/>
                <w:b/>
              </w:rPr>
              <w:t xml:space="preserve">Should we try </w:t>
            </w:r>
            <w:r w:rsidR="00CD1B20">
              <w:rPr>
                <w:rFonts w:ascii="Arial" w:hAnsi="Arial" w:cs="Arial"/>
                <w:b/>
              </w:rPr>
              <w:t>assessing ourselves against the new marking criteria</w:t>
            </w:r>
            <w:r>
              <w:rPr>
                <w:rFonts w:ascii="Arial" w:hAnsi="Arial" w:cs="Arial"/>
                <w:b/>
              </w:rPr>
              <w:t>?</w:t>
            </w:r>
          </w:p>
        </w:tc>
      </w:tr>
      <w:tr w:rsidR="001A2900" w:rsidRPr="008244F2" w:rsidTr="008244F2">
        <w:tc>
          <w:tcPr>
            <w:tcW w:w="988" w:type="dxa"/>
          </w:tcPr>
          <w:p w:rsidR="001A2900" w:rsidRPr="003D2C49" w:rsidRDefault="001A2900" w:rsidP="001A2900">
            <w:pPr>
              <w:spacing w:before="120" w:after="120"/>
              <w:rPr>
                <w:rFonts w:ascii="Arial" w:hAnsi="Arial" w:cs="Arial"/>
                <w:b/>
              </w:rPr>
            </w:pPr>
            <w:r>
              <w:rPr>
                <w:rFonts w:ascii="Arial" w:hAnsi="Arial" w:cs="Arial"/>
                <w:b/>
              </w:rPr>
              <w:t>Q9A.</w:t>
            </w:r>
          </w:p>
        </w:tc>
        <w:tc>
          <w:tcPr>
            <w:tcW w:w="8028" w:type="dxa"/>
          </w:tcPr>
          <w:p w:rsidR="001A2900" w:rsidRDefault="001A2900" w:rsidP="001A2900">
            <w:pPr>
              <w:spacing w:before="120" w:after="120"/>
              <w:rPr>
                <w:rFonts w:ascii="Arial" w:hAnsi="Arial" w:cs="Arial"/>
              </w:rPr>
            </w:pPr>
            <w:r>
              <w:rPr>
                <w:rFonts w:ascii="Arial" w:hAnsi="Arial" w:cs="Arial"/>
              </w:rPr>
              <w:t xml:space="preserve">Self-assessment </w:t>
            </w:r>
            <w:r w:rsidR="00CD1B20">
              <w:rPr>
                <w:rFonts w:ascii="Arial" w:hAnsi="Arial" w:cs="Arial"/>
              </w:rPr>
              <w:t xml:space="preserve">can be a </w:t>
            </w:r>
            <w:r>
              <w:rPr>
                <w:rFonts w:ascii="Arial" w:hAnsi="Arial" w:cs="Arial"/>
              </w:rPr>
              <w:t xml:space="preserve">really brilliant </w:t>
            </w:r>
            <w:r w:rsidR="00CD1B20">
              <w:rPr>
                <w:rFonts w:ascii="Arial" w:hAnsi="Arial" w:cs="Arial"/>
              </w:rPr>
              <w:t xml:space="preserve">tool to help you </w:t>
            </w:r>
            <w:r>
              <w:rPr>
                <w:rFonts w:ascii="Arial" w:hAnsi="Arial" w:cs="Arial"/>
              </w:rPr>
              <w:t>improv</w:t>
            </w:r>
            <w:r w:rsidR="00CD1B20">
              <w:rPr>
                <w:rFonts w:ascii="Arial" w:hAnsi="Arial" w:cs="Arial"/>
              </w:rPr>
              <w:t>e</w:t>
            </w:r>
            <w:r>
              <w:rPr>
                <w:rFonts w:ascii="Arial" w:hAnsi="Arial" w:cs="Arial"/>
              </w:rPr>
              <w:t xml:space="preserve"> your entry. By working through the marking criteria in an honest and impartial way you can identify your strengths and weaknesses. </w:t>
            </w:r>
          </w:p>
          <w:p w:rsidR="001A2900" w:rsidRPr="001A2900" w:rsidRDefault="00CD1B20" w:rsidP="00CD1B20">
            <w:pPr>
              <w:spacing w:before="120" w:after="120"/>
              <w:rPr>
                <w:rFonts w:ascii="Arial" w:hAnsi="Arial" w:cs="Arial"/>
              </w:rPr>
            </w:pPr>
            <w:r>
              <w:rPr>
                <w:rFonts w:ascii="Arial" w:hAnsi="Arial" w:cs="Arial"/>
              </w:rPr>
              <w:t xml:space="preserve">By concentrating on your lower scoring areas you can look to improve your overall marks. You can repeat the exercise several times to track your progression. </w:t>
            </w:r>
          </w:p>
        </w:tc>
      </w:tr>
      <w:tr w:rsidR="003805F6" w:rsidRPr="008244F2" w:rsidTr="008244F2">
        <w:tc>
          <w:tcPr>
            <w:tcW w:w="988" w:type="dxa"/>
          </w:tcPr>
          <w:p w:rsidR="003805F6" w:rsidRPr="003D2C49" w:rsidRDefault="003805F6" w:rsidP="001A2900">
            <w:pPr>
              <w:spacing w:before="120" w:after="120"/>
              <w:rPr>
                <w:rFonts w:ascii="Arial" w:hAnsi="Arial" w:cs="Arial"/>
                <w:b/>
              </w:rPr>
            </w:pPr>
            <w:r w:rsidRPr="003D2C49">
              <w:rPr>
                <w:rFonts w:ascii="Arial" w:hAnsi="Arial" w:cs="Arial"/>
                <w:b/>
              </w:rPr>
              <w:t>Q</w:t>
            </w:r>
            <w:r w:rsidR="001A2900">
              <w:rPr>
                <w:rFonts w:ascii="Arial" w:hAnsi="Arial" w:cs="Arial"/>
                <w:b/>
              </w:rPr>
              <w:t>10</w:t>
            </w:r>
            <w:r w:rsidRPr="003D2C49">
              <w:rPr>
                <w:rFonts w:ascii="Arial" w:hAnsi="Arial" w:cs="Arial"/>
                <w:b/>
              </w:rPr>
              <w:t>.</w:t>
            </w:r>
          </w:p>
        </w:tc>
        <w:tc>
          <w:tcPr>
            <w:tcW w:w="8028" w:type="dxa"/>
          </w:tcPr>
          <w:p w:rsidR="003805F6" w:rsidRPr="003D2C49" w:rsidRDefault="003805F6" w:rsidP="00CD023D">
            <w:pPr>
              <w:spacing w:before="120" w:after="120"/>
              <w:rPr>
                <w:rFonts w:ascii="Arial" w:hAnsi="Arial" w:cs="Arial"/>
                <w:b/>
              </w:rPr>
            </w:pPr>
            <w:r w:rsidRPr="003D2C49">
              <w:rPr>
                <w:rFonts w:ascii="Arial" w:hAnsi="Arial" w:cs="Arial"/>
                <w:b/>
              </w:rPr>
              <w:t xml:space="preserve">Why does the marking sheet show the medal levels for </w:t>
            </w:r>
            <w:r w:rsidR="00CD023D">
              <w:rPr>
                <w:rFonts w:ascii="Arial" w:hAnsi="Arial" w:cs="Arial"/>
                <w:b/>
              </w:rPr>
              <w:t>Horticulture (Section A), Environment (Section B) and Community Section C)?</w:t>
            </w:r>
          </w:p>
        </w:tc>
      </w:tr>
      <w:tr w:rsidR="003805F6" w:rsidRPr="008244F2" w:rsidTr="008244F2">
        <w:tc>
          <w:tcPr>
            <w:tcW w:w="988" w:type="dxa"/>
          </w:tcPr>
          <w:p w:rsidR="003805F6" w:rsidRPr="005A4934" w:rsidRDefault="003D2C49" w:rsidP="001A2900">
            <w:pPr>
              <w:spacing w:before="120" w:after="120"/>
              <w:rPr>
                <w:rFonts w:ascii="Arial" w:hAnsi="Arial" w:cs="Arial"/>
                <w:b/>
              </w:rPr>
            </w:pPr>
            <w:r w:rsidRPr="005A4934">
              <w:rPr>
                <w:rFonts w:ascii="Arial" w:hAnsi="Arial" w:cs="Arial"/>
                <w:b/>
              </w:rPr>
              <w:t>Q</w:t>
            </w:r>
            <w:r w:rsidR="001A2900">
              <w:rPr>
                <w:rFonts w:ascii="Arial" w:hAnsi="Arial" w:cs="Arial"/>
                <w:b/>
              </w:rPr>
              <w:t>10</w:t>
            </w:r>
            <w:r w:rsidRPr="005A4934">
              <w:rPr>
                <w:rFonts w:ascii="Arial" w:hAnsi="Arial" w:cs="Arial"/>
                <w:b/>
              </w:rPr>
              <w:t>A.</w:t>
            </w:r>
          </w:p>
        </w:tc>
        <w:tc>
          <w:tcPr>
            <w:tcW w:w="8028" w:type="dxa"/>
          </w:tcPr>
          <w:p w:rsidR="00CD023D" w:rsidRDefault="003D2C49" w:rsidP="00CD023D">
            <w:pPr>
              <w:spacing w:before="120" w:after="120"/>
              <w:rPr>
                <w:rFonts w:ascii="Arial" w:hAnsi="Arial" w:cs="Arial"/>
              </w:rPr>
            </w:pPr>
            <w:r>
              <w:rPr>
                <w:rFonts w:ascii="Arial" w:hAnsi="Arial" w:cs="Arial"/>
              </w:rPr>
              <w:t xml:space="preserve">In the UK Finals the RHS does not share the entrants’ scores, only the medal levels awarded. We have found that </w:t>
            </w:r>
            <w:r w:rsidR="00CD023D">
              <w:rPr>
                <w:rFonts w:ascii="Arial" w:hAnsi="Arial" w:cs="Arial"/>
              </w:rPr>
              <w:t xml:space="preserve">by showing the </w:t>
            </w:r>
            <w:r>
              <w:rPr>
                <w:rFonts w:ascii="Arial" w:hAnsi="Arial" w:cs="Arial"/>
              </w:rPr>
              <w:t>medal level achieved for</w:t>
            </w:r>
            <w:r w:rsidR="00CD023D">
              <w:rPr>
                <w:rFonts w:ascii="Arial" w:hAnsi="Arial" w:cs="Arial"/>
              </w:rPr>
              <w:t xml:space="preserve"> each of the sections (Horticulture, Environment and Community) it helps entrants understand where they have excelled and where they </w:t>
            </w:r>
            <w:r w:rsidR="00FA306B">
              <w:rPr>
                <w:rFonts w:ascii="Arial" w:hAnsi="Arial" w:cs="Arial"/>
              </w:rPr>
              <w:t xml:space="preserve">might need to focus their efforts in order to </w:t>
            </w:r>
            <w:r w:rsidR="00CD023D">
              <w:rPr>
                <w:rFonts w:ascii="Arial" w:hAnsi="Arial" w:cs="Arial"/>
              </w:rPr>
              <w:t xml:space="preserve">improve in </w:t>
            </w:r>
            <w:r w:rsidR="00FA306B">
              <w:rPr>
                <w:rFonts w:ascii="Arial" w:hAnsi="Arial" w:cs="Arial"/>
              </w:rPr>
              <w:t xml:space="preserve">the </w:t>
            </w:r>
            <w:r w:rsidR="00CD023D">
              <w:rPr>
                <w:rFonts w:ascii="Arial" w:hAnsi="Arial" w:cs="Arial"/>
              </w:rPr>
              <w:t xml:space="preserve">future. </w:t>
            </w:r>
          </w:p>
          <w:p w:rsidR="00A06FE7" w:rsidRDefault="00CD023D" w:rsidP="00FA306B">
            <w:pPr>
              <w:spacing w:before="120" w:after="120"/>
              <w:rPr>
                <w:rFonts w:ascii="Arial" w:hAnsi="Arial" w:cs="Arial"/>
              </w:rPr>
            </w:pPr>
            <w:r>
              <w:rPr>
                <w:rFonts w:ascii="Arial" w:hAnsi="Arial" w:cs="Arial"/>
              </w:rPr>
              <w:t>Each Region and Nation handles the sharing of scores or medal levels differently, and this will be reflected in each entrant’s reports. For more information about your local Bloom regions please contact them directly</w:t>
            </w:r>
            <w:r w:rsidR="001A2900">
              <w:rPr>
                <w:rFonts w:ascii="Arial" w:hAnsi="Arial" w:cs="Arial"/>
              </w:rPr>
              <w:t>, a full list of contact details is available here</w:t>
            </w:r>
            <w:r>
              <w:rPr>
                <w:rFonts w:ascii="Arial" w:hAnsi="Arial" w:cs="Arial"/>
              </w:rPr>
              <w:t xml:space="preserve">: </w:t>
            </w:r>
            <w:hyperlink r:id="rId10" w:history="1">
              <w:r w:rsidRPr="00877D45">
                <w:rPr>
                  <w:rStyle w:val="Hyperlink"/>
                  <w:rFonts w:ascii="Arial" w:hAnsi="Arial" w:cs="Arial"/>
                </w:rPr>
                <w:t>https://www.rhs.org.uk/get-involved/britain-in-bloom/register</w:t>
              </w:r>
            </w:hyperlink>
            <w:r>
              <w:rPr>
                <w:rFonts w:ascii="Arial" w:hAnsi="Arial" w:cs="Arial"/>
              </w:rPr>
              <w:t xml:space="preserve">  </w:t>
            </w:r>
            <w:r w:rsidR="003D2C49">
              <w:rPr>
                <w:rFonts w:ascii="Arial" w:hAnsi="Arial" w:cs="Arial"/>
              </w:rPr>
              <w:t xml:space="preserve"> </w:t>
            </w:r>
          </w:p>
        </w:tc>
      </w:tr>
      <w:tr w:rsidR="00FA306B" w:rsidRPr="008244F2" w:rsidTr="008244F2">
        <w:tc>
          <w:tcPr>
            <w:tcW w:w="988" w:type="dxa"/>
          </w:tcPr>
          <w:p w:rsidR="00FA306B" w:rsidRPr="00CD023D" w:rsidRDefault="00FA306B" w:rsidP="001A2900">
            <w:pPr>
              <w:spacing w:before="120" w:after="120"/>
              <w:rPr>
                <w:rFonts w:ascii="Arial" w:hAnsi="Arial" w:cs="Arial"/>
                <w:b/>
              </w:rPr>
            </w:pPr>
            <w:r w:rsidRPr="00CD023D">
              <w:rPr>
                <w:rFonts w:ascii="Arial" w:hAnsi="Arial" w:cs="Arial"/>
                <w:b/>
              </w:rPr>
              <w:lastRenderedPageBreak/>
              <w:t>Q</w:t>
            </w:r>
            <w:r w:rsidR="001A2900">
              <w:rPr>
                <w:rFonts w:ascii="Arial" w:hAnsi="Arial" w:cs="Arial"/>
                <w:b/>
              </w:rPr>
              <w:t>11</w:t>
            </w:r>
            <w:r w:rsidRPr="00CD023D">
              <w:rPr>
                <w:rFonts w:ascii="Arial" w:hAnsi="Arial" w:cs="Arial"/>
                <w:b/>
              </w:rPr>
              <w:t>.</w:t>
            </w:r>
          </w:p>
        </w:tc>
        <w:tc>
          <w:tcPr>
            <w:tcW w:w="8028" w:type="dxa"/>
          </w:tcPr>
          <w:p w:rsidR="00FA306B" w:rsidRPr="008244F2" w:rsidRDefault="00FA306B" w:rsidP="001A2900">
            <w:pPr>
              <w:spacing w:before="120" w:after="120"/>
              <w:rPr>
                <w:rFonts w:ascii="Arial" w:hAnsi="Arial" w:cs="Arial"/>
                <w:b/>
              </w:rPr>
            </w:pPr>
            <w:r>
              <w:rPr>
                <w:rFonts w:ascii="Arial" w:hAnsi="Arial" w:cs="Arial"/>
                <w:b/>
              </w:rPr>
              <w:t xml:space="preserve">How will </w:t>
            </w:r>
            <w:r w:rsidR="001A2900">
              <w:rPr>
                <w:rFonts w:ascii="Arial" w:hAnsi="Arial" w:cs="Arial"/>
                <w:b/>
              </w:rPr>
              <w:t>judges share their feedback?</w:t>
            </w:r>
          </w:p>
        </w:tc>
      </w:tr>
      <w:tr w:rsidR="00FA306B" w:rsidRPr="008244F2" w:rsidTr="008244F2">
        <w:tc>
          <w:tcPr>
            <w:tcW w:w="988" w:type="dxa"/>
          </w:tcPr>
          <w:p w:rsidR="00FA306B" w:rsidRPr="005A4934" w:rsidRDefault="00FA306B" w:rsidP="001A2900">
            <w:pPr>
              <w:spacing w:before="120" w:after="120"/>
              <w:rPr>
                <w:rFonts w:ascii="Arial" w:hAnsi="Arial" w:cs="Arial"/>
                <w:b/>
              </w:rPr>
            </w:pPr>
            <w:r w:rsidRPr="005A4934">
              <w:rPr>
                <w:rFonts w:ascii="Arial" w:hAnsi="Arial" w:cs="Arial"/>
                <w:b/>
              </w:rPr>
              <w:t>Q</w:t>
            </w:r>
            <w:r w:rsidR="001A2900">
              <w:rPr>
                <w:rFonts w:ascii="Arial" w:hAnsi="Arial" w:cs="Arial"/>
                <w:b/>
              </w:rPr>
              <w:t>11</w:t>
            </w:r>
            <w:r w:rsidRPr="005A4934">
              <w:rPr>
                <w:rFonts w:ascii="Arial" w:hAnsi="Arial" w:cs="Arial"/>
                <w:b/>
              </w:rPr>
              <w:t>A.</w:t>
            </w:r>
          </w:p>
        </w:tc>
        <w:tc>
          <w:tcPr>
            <w:tcW w:w="8028" w:type="dxa"/>
          </w:tcPr>
          <w:p w:rsidR="00FA306B" w:rsidRDefault="00FA306B" w:rsidP="00FA306B">
            <w:pPr>
              <w:spacing w:before="120" w:after="120"/>
              <w:rPr>
                <w:rFonts w:ascii="Arial" w:hAnsi="Arial" w:cs="Arial"/>
              </w:rPr>
            </w:pPr>
            <w:r w:rsidRPr="00CD023D">
              <w:rPr>
                <w:rFonts w:ascii="Arial" w:hAnsi="Arial" w:cs="Arial"/>
              </w:rPr>
              <w:t>The form has expandable sections allowing the judges to provide comprehensive and meaningful comments as much as they deem necessary</w:t>
            </w:r>
            <w:r>
              <w:rPr>
                <w:rFonts w:ascii="Arial" w:hAnsi="Arial" w:cs="Arial"/>
              </w:rPr>
              <w:t xml:space="preserve">. </w:t>
            </w:r>
          </w:p>
          <w:p w:rsidR="00FA306B" w:rsidRDefault="00FA306B" w:rsidP="00FA306B">
            <w:pPr>
              <w:spacing w:before="120" w:after="120"/>
              <w:rPr>
                <w:rFonts w:ascii="Arial" w:hAnsi="Arial" w:cs="Arial"/>
              </w:rPr>
            </w:pPr>
            <w:r>
              <w:rPr>
                <w:rFonts w:ascii="Arial" w:hAnsi="Arial" w:cs="Arial"/>
              </w:rPr>
              <w:t>They will provide an O</w:t>
            </w:r>
            <w:r w:rsidRPr="00CD023D">
              <w:rPr>
                <w:rFonts w:ascii="Arial" w:hAnsi="Arial" w:cs="Arial"/>
              </w:rPr>
              <w:t xml:space="preserve">verall </w:t>
            </w:r>
            <w:r>
              <w:rPr>
                <w:rFonts w:ascii="Arial" w:hAnsi="Arial" w:cs="Arial"/>
              </w:rPr>
              <w:t>I</w:t>
            </w:r>
            <w:r w:rsidRPr="00CD023D">
              <w:rPr>
                <w:rFonts w:ascii="Arial" w:hAnsi="Arial" w:cs="Arial"/>
              </w:rPr>
              <w:t>mpression</w:t>
            </w:r>
            <w:r>
              <w:rPr>
                <w:rFonts w:ascii="Arial" w:hAnsi="Arial" w:cs="Arial"/>
              </w:rPr>
              <w:t xml:space="preserve"> as well as specific feedback on each entrant’s performance in Horticulture, Environment and Community. </w:t>
            </w:r>
          </w:p>
          <w:p w:rsidR="001A2900" w:rsidRPr="008244F2" w:rsidRDefault="001A2900" w:rsidP="001A2900">
            <w:pPr>
              <w:spacing w:before="120" w:after="120"/>
              <w:rPr>
                <w:rFonts w:ascii="Arial" w:hAnsi="Arial" w:cs="Arial"/>
                <w:b/>
              </w:rPr>
            </w:pPr>
            <w:r>
              <w:rPr>
                <w:rFonts w:ascii="Arial" w:hAnsi="Arial" w:cs="Arial"/>
              </w:rPr>
              <w:t xml:space="preserve">Please note at the UK Finals the judges also provide face to face feedback to groups at the judges’ surgeries. Some Regions and Nations also provide local judges surgeries, this varies between regions.   </w:t>
            </w:r>
          </w:p>
        </w:tc>
      </w:tr>
      <w:tr w:rsidR="00FA306B" w:rsidRPr="008244F2" w:rsidTr="008244F2">
        <w:tc>
          <w:tcPr>
            <w:tcW w:w="988" w:type="dxa"/>
          </w:tcPr>
          <w:p w:rsidR="00FA306B" w:rsidRPr="003D2C49" w:rsidRDefault="00FA306B" w:rsidP="001A2900">
            <w:pPr>
              <w:spacing w:before="120" w:after="120"/>
              <w:rPr>
                <w:rFonts w:ascii="Arial" w:hAnsi="Arial" w:cs="Arial"/>
                <w:b/>
              </w:rPr>
            </w:pPr>
            <w:r w:rsidRPr="003D2C49">
              <w:rPr>
                <w:rFonts w:ascii="Arial" w:hAnsi="Arial" w:cs="Arial"/>
                <w:b/>
              </w:rPr>
              <w:t>Q</w:t>
            </w:r>
            <w:r w:rsidR="001A2900">
              <w:rPr>
                <w:rFonts w:ascii="Arial" w:hAnsi="Arial" w:cs="Arial"/>
                <w:b/>
              </w:rPr>
              <w:t>12</w:t>
            </w:r>
            <w:r w:rsidRPr="003D2C49">
              <w:rPr>
                <w:rFonts w:ascii="Arial" w:hAnsi="Arial" w:cs="Arial"/>
                <w:b/>
              </w:rPr>
              <w:t>.</w:t>
            </w:r>
          </w:p>
        </w:tc>
        <w:tc>
          <w:tcPr>
            <w:tcW w:w="8028" w:type="dxa"/>
          </w:tcPr>
          <w:p w:rsidR="00FA306B" w:rsidRPr="00CD023D" w:rsidRDefault="00FA306B" w:rsidP="00FA306B">
            <w:pPr>
              <w:spacing w:before="120" w:after="120"/>
              <w:rPr>
                <w:rFonts w:ascii="Arial" w:hAnsi="Arial" w:cs="Arial"/>
                <w:b/>
              </w:rPr>
            </w:pPr>
            <w:r w:rsidRPr="00CD023D">
              <w:rPr>
                <w:rFonts w:ascii="Arial" w:hAnsi="Arial" w:cs="Arial"/>
                <w:b/>
              </w:rPr>
              <w:t>What happen</w:t>
            </w:r>
            <w:r>
              <w:rPr>
                <w:rFonts w:ascii="Arial" w:hAnsi="Arial" w:cs="Arial"/>
                <w:b/>
              </w:rPr>
              <w:t>s</w:t>
            </w:r>
            <w:r w:rsidRPr="00CD023D">
              <w:rPr>
                <w:rFonts w:ascii="Arial" w:hAnsi="Arial" w:cs="Arial"/>
                <w:b/>
              </w:rPr>
              <w:t xml:space="preserve"> if an entry scores less than 50 marks? </w:t>
            </w:r>
          </w:p>
        </w:tc>
      </w:tr>
      <w:tr w:rsidR="00FA306B" w:rsidRPr="008244F2" w:rsidTr="008244F2">
        <w:tc>
          <w:tcPr>
            <w:tcW w:w="988" w:type="dxa"/>
          </w:tcPr>
          <w:p w:rsidR="00FA306B" w:rsidRPr="005A4934" w:rsidRDefault="00FA306B" w:rsidP="001A2900">
            <w:pPr>
              <w:spacing w:before="120" w:after="120"/>
              <w:rPr>
                <w:rFonts w:ascii="Arial" w:hAnsi="Arial" w:cs="Arial"/>
                <w:b/>
              </w:rPr>
            </w:pPr>
            <w:r w:rsidRPr="005A4934">
              <w:rPr>
                <w:rFonts w:ascii="Arial" w:hAnsi="Arial" w:cs="Arial"/>
                <w:b/>
              </w:rPr>
              <w:t>Q1</w:t>
            </w:r>
            <w:r w:rsidR="001A2900">
              <w:rPr>
                <w:rFonts w:ascii="Arial" w:hAnsi="Arial" w:cs="Arial"/>
                <w:b/>
              </w:rPr>
              <w:t>2</w:t>
            </w:r>
            <w:r w:rsidRPr="005A4934">
              <w:rPr>
                <w:rFonts w:ascii="Arial" w:hAnsi="Arial" w:cs="Arial"/>
                <w:b/>
              </w:rPr>
              <w:t>A.</w:t>
            </w:r>
          </w:p>
        </w:tc>
        <w:tc>
          <w:tcPr>
            <w:tcW w:w="8028" w:type="dxa"/>
          </w:tcPr>
          <w:p w:rsidR="00FA306B" w:rsidRPr="00CD023D" w:rsidRDefault="00FA306B" w:rsidP="00984891">
            <w:pPr>
              <w:spacing w:before="120" w:after="120"/>
              <w:rPr>
                <w:rFonts w:ascii="Arial" w:hAnsi="Arial" w:cs="Arial"/>
              </w:rPr>
            </w:pPr>
            <w:r w:rsidRPr="00CD023D">
              <w:rPr>
                <w:rFonts w:ascii="Arial" w:hAnsi="Arial" w:cs="Arial"/>
              </w:rPr>
              <w:t xml:space="preserve">If an entry scores less </w:t>
            </w:r>
            <w:r w:rsidR="00984891">
              <w:rPr>
                <w:rFonts w:ascii="Arial" w:hAnsi="Arial" w:cs="Arial"/>
              </w:rPr>
              <w:t>than 50 marks, they will be given a certificate of participation</w:t>
            </w:r>
            <w:r w:rsidRPr="00CD023D">
              <w:rPr>
                <w:rFonts w:ascii="Arial" w:hAnsi="Arial" w:cs="Arial"/>
              </w:rPr>
              <w:t>. In their comments the judges will provide the entry with encouraging feedback, highlighting how they could improve their score in the future.</w:t>
            </w:r>
          </w:p>
        </w:tc>
      </w:tr>
      <w:tr w:rsidR="00FA306B" w:rsidRPr="008244F2" w:rsidTr="008244F2">
        <w:tc>
          <w:tcPr>
            <w:tcW w:w="988" w:type="dxa"/>
          </w:tcPr>
          <w:p w:rsidR="00FA306B" w:rsidRPr="00CD023D" w:rsidRDefault="00FA306B" w:rsidP="001A2900">
            <w:pPr>
              <w:spacing w:before="120" w:after="120"/>
              <w:rPr>
                <w:rFonts w:ascii="Arial" w:hAnsi="Arial" w:cs="Arial"/>
                <w:b/>
              </w:rPr>
            </w:pPr>
            <w:r w:rsidRPr="00CD023D">
              <w:rPr>
                <w:rFonts w:ascii="Arial" w:hAnsi="Arial" w:cs="Arial"/>
                <w:b/>
              </w:rPr>
              <w:t>Q1</w:t>
            </w:r>
            <w:r w:rsidR="001A2900">
              <w:rPr>
                <w:rFonts w:ascii="Arial" w:hAnsi="Arial" w:cs="Arial"/>
                <w:b/>
              </w:rPr>
              <w:t>3</w:t>
            </w:r>
            <w:r w:rsidRPr="00CD023D">
              <w:rPr>
                <w:rFonts w:ascii="Arial" w:hAnsi="Arial" w:cs="Arial"/>
                <w:b/>
              </w:rPr>
              <w:t>.</w:t>
            </w:r>
          </w:p>
        </w:tc>
        <w:tc>
          <w:tcPr>
            <w:tcW w:w="8028" w:type="dxa"/>
          </w:tcPr>
          <w:p w:rsidR="00FA306B" w:rsidRPr="005B3BD3" w:rsidRDefault="00FA306B" w:rsidP="00FA306B">
            <w:pPr>
              <w:spacing w:before="120" w:after="120"/>
              <w:rPr>
                <w:rFonts w:ascii="Arial" w:hAnsi="Arial" w:cs="Arial"/>
                <w:b/>
              </w:rPr>
            </w:pPr>
            <w:r w:rsidRPr="005B3BD3">
              <w:rPr>
                <w:rFonts w:ascii="Arial" w:hAnsi="Arial" w:cs="Arial"/>
                <w:b/>
              </w:rPr>
              <w:t>What happens if an entr</w:t>
            </w:r>
            <w:r>
              <w:rPr>
                <w:rFonts w:ascii="Arial" w:hAnsi="Arial" w:cs="Arial"/>
                <w:b/>
              </w:rPr>
              <w:t>y</w:t>
            </w:r>
            <w:r w:rsidRPr="005B3BD3">
              <w:rPr>
                <w:rFonts w:ascii="Arial" w:hAnsi="Arial" w:cs="Arial"/>
                <w:b/>
              </w:rPr>
              <w:t xml:space="preserve"> is missing an element entirely?</w:t>
            </w:r>
          </w:p>
        </w:tc>
      </w:tr>
      <w:tr w:rsidR="00FA306B" w:rsidRPr="008244F2" w:rsidTr="008244F2">
        <w:tc>
          <w:tcPr>
            <w:tcW w:w="988" w:type="dxa"/>
          </w:tcPr>
          <w:p w:rsidR="00FA306B" w:rsidRPr="00CD023D" w:rsidRDefault="007A5042" w:rsidP="001A2900">
            <w:pPr>
              <w:spacing w:before="120" w:after="120"/>
              <w:rPr>
                <w:rFonts w:ascii="Arial" w:hAnsi="Arial" w:cs="Arial"/>
                <w:b/>
              </w:rPr>
            </w:pPr>
            <w:r>
              <w:rPr>
                <w:rFonts w:ascii="Arial" w:hAnsi="Arial" w:cs="Arial"/>
                <w:b/>
              </w:rPr>
              <w:t>Q1</w:t>
            </w:r>
            <w:r w:rsidR="001A2900">
              <w:rPr>
                <w:rFonts w:ascii="Arial" w:hAnsi="Arial" w:cs="Arial"/>
                <w:b/>
              </w:rPr>
              <w:t>3</w:t>
            </w:r>
            <w:r>
              <w:rPr>
                <w:rFonts w:ascii="Arial" w:hAnsi="Arial" w:cs="Arial"/>
                <w:b/>
              </w:rPr>
              <w:t>A.</w:t>
            </w:r>
          </w:p>
        </w:tc>
        <w:tc>
          <w:tcPr>
            <w:tcW w:w="8028" w:type="dxa"/>
          </w:tcPr>
          <w:p w:rsidR="00FA306B" w:rsidRDefault="00FA306B" w:rsidP="00FA306B">
            <w:pPr>
              <w:spacing w:before="120" w:after="120"/>
              <w:rPr>
                <w:rFonts w:ascii="Arial" w:hAnsi="Arial" w:cs="Arial"/>
              </w:rPr>
            </w:pPr>
            <w:r w:rsidRPr="00E16BA3">
              <w:rPr>
                <w:rFonts w:ascii="Arial" w:hAnsi="Arial" w:cs="Arial"/>
              </w:rPr>
              <w:t>Should any element</w:t>
            </w:r>
            <w:r>
              <w:rPr>
                <w:rFonts w:ascii="Arial" w:hAnsi="Arial" w:cs="Arial"/>
              </w:rPr>
              <w:t>,</w:t>
            </w:r>
            <w:r w:rsidRPr="00E16BA3">
              <w:rPr>
                <w:rFonts w:ascii="Arial" w:hAnsi="Arial" w:cs="Arial"/>
              </w:rPr>
              <w:t xml:space="preserve"> through no fault of the </w:t>
            </w:r>
            <w:r>
              <w:rPr>
                <w:rFonts w:ascii="Arial" w:hAnsi="Arial" w:cs="Arial"/>
              </w:rPr>
              <w:t xml:space="preserve">entrant, </w:t>
            </w:r>
            <w:r w:rsidRPr="00E16BA3">
              <w:rPr>
                <w:rFonts w:ascii="Arial" w:hAnsi="Arial" w:cs="Arial"/>
              </w:rPr>
              <w:t>be absent then judges should use an average mark for that element only (average in most cases will be within 7-6)</w:t>
            </w:r>
            <w:r>
              <w:rPr>
                <w:rFonts w:ascii="Arial" w:hAnsi="Arial" w:cs="Arial"/>
              </w:rPr>
              <w:t xml:space="preserve">. </w:t>
            </w:r>
          </w:p>
          <w:p w:rsidR="00FA306B" w:rsidRPr="00CD023D" w:rsidRDefault="00FA306B" w:rsidP="00FA306B">
            <w:pPr>
              <w:spacing w:before="120" w:after="120"/>
              <w:rPr>
                <w:rFonts w:ascii="Arial" w:hAnsi="Arial" w:cs="Arial"/>
              </w:rPr>
            </w:pPr>
            <w:r>
              <w:rPr>
                <w:rFonts w:ascii="Arial" w:hAnsi="Arial" w:cs="Arial"/>
              </w:rPr>
              <w:t>I</w:t>
            </w:r>
            <w:r w:rsidRPr="00E16BA3">
              <w:rPr>
                <w:rFonts w:ascii="Arial" w:hAnsi="Arial" w:cs="Arial"/>
              </w:rPr>
              <w:t xml:space="preserve">f the element is inappropriate to the area </w:t>
            </w:r>
            <w:r>
              <w:rPr>
                <w:rFonts w:ascii="Arial" w:hAnsi="Arial" w:cs="Arial"/>
              </w:rPr>
              <w:t xml:space="preserve">then the judges </w:t>
            </w:r>
            <w:r w:rsidRPr="00E16BA3">
              <w:rPr>
                <w:rFonts w:ascii="Arial" w:hAnsi="Arial" w:cs="Arial"/>
                <w:u w:val="single"/>
              </w:rPr>
              <w:t>should not mention</w:t>
            </w:r>
            <w:r w:rsidRPr="00E16BA3">
              <w:rPr>
                <w:rFonts w:ascii="Arial" w:hAnsi="Arial" w:cs="Arial"/>
              </w:rPr>
              <w:t xml:space="preserve"> it in the feedback.</w:t>
            </w:r>
          </w:p>
        </w:tc>
      </w:tr>
      <w:tr w:rsidR="00052FFF" w:rsidRPr="008244F2" w:rsidTr="008244F2">
        <w:tc>
          <w:tcPr>
            <w:tcW w:w="988" w:type="dxa"/>
          </w:tcPr>
          <w:p w:rsidR="00052FFF" w:rsidRDefault="00052FFF" w:rsidP="001A2900">
            <w:pPr>
              <w:spacing w:before="120" w:after="120"/>
              <w:rPr>
                <w:rFonts w:ascii="Arial" w:hAnsi="Arial" w:cs="Arial"/>
                <w:b/>
              </w:rPr>
            </w:pPr>
            <w:r>
              <w:rPr>
                <w:rFonts w:ascii="Arial" w:hAnsi="Arial" w:cs="Arial"/>
                <w:b/>
              </w:rPr>
              <w:t>Q14.</w:t>
            </w:r>
          </w:p>
        </w:tc>
        <w:tc>
          <w:tcPr>
            <w:tcW w:w="8028" w:type="dxa"/>
          </w:tcPr>
          <w:p w:rsidR="00052FFF" w:rsidRPr="00052FFF" w:rsidRDefault="00052FFF" w:rsidP="00052FFF">
            <w:pPr>
              <w:spacing w:before="120" w:after="120"/>
              <w:rPr>
                <w:rFonts w:ascii="Arial" w:hAnsi="Arial" w:cs="Arial"/>
              </w:rPr>
            </w:pPr>
            <w:r w:rsidRPr="00052FFF">
              <w:rPr>
                <w:rFonts w:ascii="Arial" w:hAnsi="Arial" w:cs="Arial"/>
                <w:b/>
              </w:rPr>
              <w:t xml:space="preserve">Will the judges assess everything they see? </w:t>
            </w:r>
          </w:p>
        </w:tc>
      </w:tr>
      <w:tr w:rsidR="00052FFF" w:rsidRPr="008244F2" w:rsidTr="008244F2">
        <w:tc>
          <w:tcPr>
            <w:tcW w:w="988" w:type="dxa"/>
          </w:tcPr>
          <w:p w:rsidR="00052FFF" w:rsidRDefault="00052FFF" w:rsidP="00052FFF">
            <w:pPr>
              <w:spacing w:before="120" w:after="120"/>
              <w:rPr>
                <w:rFonts w:ascii="Arial" w:hAnsi="Arial" w:cs="Arial"/>
                <w:b/>
              </w:rPr>
            </w:pPr>
            <w:r>
              <w:rPr>
                <w:rFonts w:ascii="Arial" w:hAnsi="Arial" w:cs="Arial"/>
                <w:b/>
              </w:rPr>
              <w:t>Q14A.</w:t>
            </w:r>
          </w:p>
        </w:tc>
        <w:tc>
          <w:tcPr>
            <w:tcW w:w="8028" w:type="dxa"/>
          </w:tcPr>
          <w:p w:rsidR="00052FFF" w:rsidRPr="00052FFF" w:rsidRDefault="00052FFF" w:rsidP="00052FFF">
            <w:pPr>
              <w:spacing w:before="120" w:after="120"/>
              <w:rPr>
                <w:rFonts w:ascii="Arial" w:hAnsi="Arial" w:cs="Arial"/>
              </w:rPr>
            </w:pPr>
            <w:r w:rsidRPr="00052FFF">
              <w:rPr>
                <w:rFonts w:ascii="Arial" w:hAnsi="Arial" w:cs="Arial"/>
              </w:rPr>
              <w:t xml:space="preserve">Your entire tour route is subject to judging; that means what the judges see on the way from one feature stop to another, as well as what they see at all the stops. The judges will expect that your campaign has considered your entire community and not just the high street or the village square and that, where you have “problem” areas (e.g. vacant premises/plots, eyesores etc.), you have plans in place to address these. </w:t>
            </w:r>
          </w:p>
        </w:tc>
      </w:tr>
      <w:tr w:rsidR="00FA306B" w:rsidRPr="008244F2" w:rsidTr="00A06FE7">
        <w:tc>
          <w:tcPr>
            <w:tcW w:w="9016" w:type="dxa"/>
            <w:gridSpan w:val="2"/>
            <w:shd w:val="clear" w:color="auto" w:fill="D5FFEA"/>
          </w:tcPr>
          <w:p w:rsidR="00FA306B" w:rsidRPr="00A06FE7" w:rsidRDefault="00FA306B" w:rsidP="00FA306B">
            <w:pPr>
              <w:spacing w:before="120" w:after="120"/>
              <w:rPr>
                <w:rFonts w:ascii="Arial" w:hAnsi="Arial" w:cs="Arial"/>
                <w:b/>
              </w:rPr>
            </w:pPr>
            <w:r w:rsidRPr="00A06FE7">
              <w:rPr>
                <w:rFonts w:ascii="Arial" w:hAnsi="Arial" w:cs="Arial"/>
                <w:b/>
              </w:rPr>
              <w:t xml:space="preserve">Further Information </w:t>
            </w:r>
          </w:p>
        </w:tc>
      </w:tr>
      <w:tr w:rsidR="00FA306B" w:rsidRPr="008244F2" w:rsidTr="008244F2">
        <w:tc>
          <w:tcPr>
            <w:tcW w:w="988" w:type="dxa"/>
          </w:tcPr>
          <w:p w:rsidR="00FA306B" w:rsidRPr="00CD023D" w:rsidRDefault="00052FFF" w:rsidP="00FA306B">
            <w:pPr>
              <w:spacing w:before="120" w:after="120"/>
              <w:rPr>
                <w:rFonts w:ascii="Arial" w:hAnsi="Arial" w:cs="Arial"/>
                <w:b/>
              </w:rPr>
            </w:pPr>
            <w:r>
              <w:rPr>
                <w:rFonts w:ascii="Arial" w:hAnsi="Arial" w:cs="Arial"/>
                <w:b/>
              </w:rPr>
              <w:t>Q15</w:t>
            </w:r>
            <w:r w:rsidR="00FA306B">
              <w:rPr>
                <w:rFonts w:ascii="Arial" w:hAnsi="Arial" w:cs="Arial"/>
                <w:b/>
              </w:rPr>
              <w:t>.</w:t>
            </w:r>
          </w:p>
        </w:tc>
        <w:tc>
          <w:tcPr>
            <w:tcW w:w="8028" w:type="dxa"/>
          </w:tcPr>
          <w:p w:rsidR="00FA306B" w:rsidRPr="00A06FE7" w:rsidRDefault="00FA306B" w:rsidP="00FA306B">
            <w:pPr>
              <w:spacing w:before="120" w:after="120"/>
              <w:rPr>
                <w:rFonts w:ascii="Arial" w:hAnsi="Arial" w:cs="Arial"/>
                <w:b/>
              </w:rPr>
            </w:pPr>
            <w:r w:rsidRPr="00A06FE7">
              <w:rPr>
                <w:rFonts w:ascii="Arial" w:hAnsi="Arial" w:cs="Arial"/>
                <w:b/>
              </w:rPr>
              <w:t xml:space="preserve">How </w:t>
            </w:r>
            <w:r>
              <w:rPr>
                <w:rFonts w:ascii="Arial" w:hAnsi="Arial" w:cs="Arial"/>
                <w:b/>
              </w:rPr>
              <w:t xml:space="preserve">can </w:t>
            </w:r>
            <w:r w:rsidRPr="00A06FE7">
              <w:rPr>
                <w:rFonts w:ascii="Arial" w:hAnsi="Arial" w:cs="Arial"/>
                <w:b/>
              </w:rPr>
              <w:t>I find out more information?</w:t>
            </w:r>
          </w:p>
        </w:tc>
      </w:tr>
      <w:tr w:rsidR="00FA306B" w:rsidRPr="008244F2" w:rsidTr="008244F2">
        <w:tc>
          <w:tcPr>
            <w:tcW w:w="988" w:type="dxa"/>
          </w:tcPr>
          <w:p w:rsidR="00FA306B" w:rsidRPr="00CD023D" w:rsidRDefault="00FA306B" w:rsidP="00052FFF">
            <w:pPr>
              <w:spacing w:before="120" w:after="120"/>
              <w:rPr>
                <w:rFonts w:ascii="Arial" w:hAnsi="Arial" w:cs="Arial"/>
                <w:b/>
              </w:rPr>
            </w:pPr>
            <w:r>
              <w:rPr>
                <w:rFonts w:ascii="Arial" w:hAnsi="Arial" w:cs="Arial"/>
                <w:b/>
              </w:rPr>
              <w:t>Q1</w:t>
            </w:r>
            <w:r w:rsidR="00052FFF">
              <w:rPr>
                <w:rFonts w:ascii="Arial" w:hAnsi="Arial" w:cs="Arial"/>
                <w:b/>
              </w:rPr>
              <w:t>5</w:t>
            </w:r>
            <w:r>
              <w:rPr>
                <w:rFonts w:ascii="Arial" w:hAnsi="Arial" w:cs="Arial"/>
                <w:b/>
              </w:rPr>
              <w:t>A.</w:t>
            </w:r>
          </w:p>
        </w:tc>
        <w:tc>
          <w:tcPr>
            <w:tcW w:w="8028" w:type="dxa"/>
          </w:tcPr>
          <w:p w:rsidR="00FA306B" w:rsidRDefault="00FA306B" w:rsidP="00FA306B">
            <w:pPr>
              <w:spacing w:before="120" w:after="120"/>
              <w:rPr>
                <w:rFonts w:ascii="Arial" w:hAnsi="Arial" w:cs="Arial"/>
              </w:rPr>
            </w:pPr>
            <w:r>
              <w:rPr>
                <w:rFonts w:ascii="Arial" w:hAnsi="Arial" w:cs="Arial"/>
              </w:rPr>
              <w:t>Please direct any queries to the RHS Communities Team:</w:t>
            </w:r>
          </w:p>
          <w:p w:rsidR="00FA306B" w:rsidRDefault="00FA306B" w:rsidP="00FA306B">
            <w:pPr>
              <w:pStyle w:val="ListParagraph"/>
              <w:numPr>
                <w:ilvl w:val="0"/>
                <w:numId w:val="9"/>
              </w:numPr>
              <w:spacing w:before="120" w:after="120"/>
              <w:rPr>
                <w:rFonts w:ascii="Arial" w:hAnsi="Arial" w:cs="Arial"/>
              </w:rPr>
            </w:pPr>
            <w:r w:rsidRPr="00A06FE7">
              <w:rPr>
                <w:rFonts w:ascii="Arial" w:hAnsi="Arial" w:cs="Arial"/>
              </w:rPr>
              <w:t xml:space="preserve">Email: </w:t>
            </w:r>
            <w:hyperlink r:id="rId11" w:history="1">
              <w:r w:rsidRPr="00A06FE7">
                <w:rPr>
                  <w:rStyle w:val="Hyperlink"/>
                  <w:rFonts w:ascii="Arial" w:hAnsi="Arial" w:cs="Arial"/>
                </w:rPr>
                <w:t>communities@rhs.org.uk</w:t>
              </w:r>
            </w:hyperlink>
            <w:r w:rsidRPr="00A06FE7">
              <w:rPr>
                <w:rFonts w:ascii="Arial" w:hAnsi="Arial" w:cs="Arial"/>
              </w:rPr>
              <w:t xml:space="preserve">, or </w:t>
            </w:r>
          </w:p>
          <w:p w:rsidR="00FA306B" w:rsidRDefault="00FA306B" w:rsidP="00FA306B">
            <w:pPr>
              <w:pStyle w:val="ListParagraph"/>
              <w:numPr>
                <w:ilvl w:val="0"/>
                <w:numId w:val="9"/>
              </w:numPr>
              <w:spacing w:before="120" w:after="120"/>
              <w:rPr>
                <w:rFonts w:ascii="Arial" w:hAnsi="Arial" w:cs="Arial"/>
              </w:rPr>
            </w:pPr>
            <w:r>
              <w:rPr>
                <w:rFonts w:ascii="Arial" w:hAnsi="Arial" w:cs="Arial"/>
              </w:rPr>
              <w:t>T</w:t>
            </w:r>
            <w:r w:rsidRPr="00A06FE7">
              <w:rPr>
                <w:rFonts w:ascii="Arial" w:hAnsi="Arial" w:cs="Arial"/>
              </w:rPr>
              <w:t xml:space="preserve">elephone: 0207 8213122 </w:t>
            </w:r>
          </w:p>
          <w:p w:rsidR="00FA306B" w:rsidRDefault="00FA306B" w:rsidP="00FA306B">
            <w:pPr>
              <w:spacing w:before="120" w:after="120"/>
              <w:rPr>
                <w:rFonts w:ascii="Arial" w:hAnsi="Arial" w:cs="Arial"/>
              </w:rPr>
            </w:pPr>
            <w:r>
              <w:rPr>
                <w:rFonts w:ascii="Arial" w:hAnsi="Arial" w:cs="Arial"/>
              </w:rPr>
              <w:t xml:space="preserve">Or to the coordinator of your </w:t>
            </w:r>
            <w:r w:rsidRPr="00A06FE7">
              <w:rPr>
                <w:rFonts w:ascii="Arial" w:hAnsi="Arial" w:cs="Arial"/>
              </w:rPr>
              <w:t>local</w:t>
            </w:r>
            <w:r>
              <w:rPr>
                <w:rFonts w:ascii="Arial" w:hAnsi="Arial" w:cs="Arial"/>
              </w:rPr>
              <w:t xml:space="preserve"> Bloom Region or Nation. A full list of contact details is available here: </w:t>
            </w:r>
          </w:p>
          <w:p w:rsidR="00FA306B" w:rsidRPr="00984891" w:rsidRDefault="008432F0" w:rsidP="00FA306B">
            <w:pPr>
              <w:pStyle w:val="ListParagraph"/>
              <w:numPr>
                <w:ilvl w:val="0"/>
                <w:numId w:val="10"/>
              </w:numPr>
              <w:spacing w:before="120" w:after="120"/>
              <w:rPr>
                <w:rFonts w:ascii="Arial" w:hAnsi="Arial" w:cs="Arial"/>
              </w:rPr>
            </w:pPr>
            <w:hyperlink r:id="rId12" w:history="1">
              <w:r w:rsidR="00FA306B" w:rsidRPr="00A06FE7">
                <w:rPr>
                  <w:rStyle w:val="Hyperlink"/>
                  <w:rFonts w:ascii="Arial" w:hAnsi="Arial" w:cs="Arial"/>
                </w:rPr>
                <w:t>https://www.rhs.org.uk/get-involved/britain-in-bloom/register</w:t>
              </w:r>
            </w:hyperlink>
            <w:r w:rsidR="00FA306B" w:rsidRPr="00A06FE7">
              <w:rPr>
                <w:rFonts w:ascii="Arial" w:hAnsi="Arial" w:cs="Arial"/>
              </w:rPr>
              <w:t xml:space="preserve">   </w:t>
            </w:r>
          </w:p>
        </w:tc>
      </w:tr>
    </w:tbl>
    <w:p w:rsidR="00B166F1" w:rsidRDefault="00B166F1">
      <w:pPr>
        <w:rPr>
          <w:rFonts w:ascii="Arial" w:hAnsi="Arial" w:cs="Arial"/>
        </w:rPr>
      </w:pPr>
    </w:p>
    <w:p w:rsidR="003A4801" w:rsidRDefault="003A4801">
      <w:pPr>
        <w:rPr>
          <w:rFonts w:ascii="Arial" w:hAnsi="Arial" w:cs="Arial"/>
        </w:rPr>
      </w:pPr>
    </w:p>
    <w:sectPr w:rsidR="003A480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F0" w:rsidRDefault="008432F0" w:rsidP="00041718">
      <w:pPr>
        <w:spacing w:after="0" w:line="240" w:lineRule="auto"/>
      </w:pPr>
      <w:r>
        <w:separator/>
      </w:r>
    </w:p>
  </w:endnote>
  <w:endnote w:type="continuationSeparator" w:id="0">
    <w:p w:rsidR="008432F0" w:rsidRDefault="008432F0" w:rsidP="0004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18" w:rsidRDefault="00041718">
    <w:pPr>
      <w:pStyle w:val="Footer"/>
    </w:pPr>
    <w:r>
      <w:t xml:space="preserve">RHS Communities Team </w:t>
    </w:r>
    <w:r>
      <w:tab/>
      <w:t xml:space="preserve">Version 1.0 </w:t>
    </w:r>
    <w:r>
      <w:tab/>
      <w:t xml:space="preserve">Last Updated January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F0" w:rsidRDefault="008432F0" w:rsidP="00041718">
      <w:pPr>
        <w:spacing w:after="0" w:line="240" w:lineRule="auto"/>
      </w:pPr>
      <w:r>
        <w:separator/>
      </w:r>
    </w:p>
  </w:footnote>
  <w:footnote w:type="continuationSeparator" w:id="0">
    <w:p w:rsidR="008432F0" w:rsidRDefault="008432F0" w:rsidP="00041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240112"/>
      <w:docPartObj>
        <w:docPartGallery w:val="Page Numbers (Top of Page)"/>
        <w:docPartUnique/>
      </w:docPartObj>
    </w:sdtPr>
    <w:sdtEndPr>
      <w:rPr>
        <w:rFonts w:ascii="Arial" w:hAnsi="Arial" w:cs="Arial"/>
        <w:noProof/>
        <w:sz w:val="20"/>
        <w:szCs w:val="20"/>
      </w:rPr>
    </w:sdtEndPr>
    <w:sdtContent>
      <w:p w:rsidR="00CE162F" w:rsidRPr="00CE162F" w:rsidRDefault="00CE162F">
        <w:pPr>
          <w:pStyle w:val="Header"/>
          <w:jc w:val="right"/>
          <w:rPr>
            <w:rFonts w:ascii="Arial" w:hAnsi="Arial" w:cs="Arial"/>
            <w:sz w:val="20"/>
            <w:szCs w:val="20"/>
          </w:rPr>
        </w:pPr>
        <w:r w:rsidRPr="00CE162F">
          <w:rPr>
            <w:rFonts w:ascii="Arial" w:hAnsi="Arial" w:cs="Arial"/>
            <w:sz w:val="20"/>
            <w:szCs w:val="20"/>
          </w:rPr>
          <w:fldChar w:fldCharType="begin"/>
        </w:r>
        <w:r w:rsidRPr="00CE162F">
          <w:rPr>
            <w:rFonts w:ascii="Arial" w:hAnsi="Arial" w:cs="Arial"/>
            <w:sz w:val="20"/>
            <w:szCs w:val="20"/>
          </w:rPr>
          <w:instrText xml:space="preserve"> PAGE   \* MERGEFORMAT </w:instrText>
        </w:r>
        <w:r w:rsidRPr="00CE162F">
          <w:rPr>
            <w:rFonts w:ascii="Arial" w:hAnsi="Arial" w:cs="Arial"/>
            <w:sz w:val="20"/>
            <w:szCs w:val="20"/>
          </w:rPr>
          <w:fldChar w:fldCharType="separate"/>
        </w:r>
        <w:r w:rsidR="00D377AA">
          <w:rPr>
            <w:rFonts w:ascii="Arial" w:hAnsi="Arial" w:cs="Arial"/>
            <w:noProof/>
            <w:sz w:val="20"/>
            <w:szCs w:val="20"/>
          </w:rPr>
          <w:t>2</w:t>
        </w:r>
        <w:r w:rsidRPr="00CE162F">
          <w:rPr>
            <w:rFonts w:ascii="Arial" w:hAnsi="Arial" w:cs="Arial"/>
            <w:noProof/>
            <w:sz w:val="20"/>
            <w:szCs w:val="20"/>
          </w:rPr>
          <w:fldChar w:fldCharType="end"/>
        </w:r>
      </w:p>
    </w:sdtContent>
  </w:sdt>
  <w:p w:rsidR="00CE162F" w:rsidRPr="00CE162F" w:rsidRDefault="00CE162F" w:rsidP="00CE162F">
    <w:pPr>
      <w:pStyle w:val="Header"/>
      <w:rPr>
        <w:rFonts w:ascii="Arial" w:hAnsi="Arial" w:cs="Arial"/>
        <w:b/>
      </w:rPr>
    </w:pPr>
    <w:r w:rsidRPr="00CE162F">
      <w:rPr>
        <w:rFonts w:ascii="Arial" w:hAnsi="Arial" w:cs="Arial"/>
        <w:b/>
        <w:noProof/>
        <w:lang w:eastAsia="en-GB"/>
      </w:rPr>
      <w:drawing>
        <wp:anchor distT="0" distB="0" distL="114300" distR="114300" simplePos="0" relativeHeight="251659264" behindDoc="0" locked="0" layoutInCell="1" allowOverlap="1" wp14:anchorId="6ABA79C5" wp14:editId="0EDE7A8C">
          <wp:simplePos x="0" y="0"/>
          <wp:positionH relativeFrom="margin">
            <wp:posOffset>-485775</wp:posOffset>
          </wp:positionH>
          <wp:positionV relativeFrom="topMargin">
            <wp:align>bottom</wp:align>
          </wp:positionV>
          <wp:extent cx="895350" cy="76859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withRH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768598"/>
                  </a:xfrm>
                  <a:prstGeom prst="rect">
                    <a:avLst/>
                  </a:prstGeom>
                </pic:spPr>
              </pic:pic>
            </a:graphicData>
          </a:graphic>
        </wp:anchor>
      </w:drawing>
    </w:r>
    <w:r w:rsidRPr="00CE162F">
      <w:rPr>
        <w:rFonts w:ascii="Arial" w:hAnsi="Arial" w:cs="Arial"/>
        <w:b/>
      </w:rPr>
      <w:t xml:space="preserve">Britain in Bloom Marking Criteria – Frequently Asked Questions </w:t>
    </w:r>
  </w:p>
  <w:p w:rsidR="00041718" w:rsidRPr="00041718" w:rsidRDefault="00041718" w:rsidP="00CE162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B41"/>
    <w:multiLevelType w:val="hybridMultilevel"/>
    <w:tmpl w:val="65FC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714D58"/>
    <w:multiLevelType w:val="hybridMultilevel"/>
    <w:tmpl w:val="CD8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EC1ED3"/>
    <w:multiLevelType w:val="hybridMultilevel"/>
    <w:tmpl w:val="65A8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507DAF"/>
    <w:multiLevelType w:val="hybridMultilevel"/>
    <w:tmpl w:val="443E8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1C0A90"/>
    <w:multiLevelType w:val="hybridMultilevel"/>
    <w:tmpl w:val="BDB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B6690"/>
    <w:multiLevelType w:val="hybridMultilevel"/>
    <w:tmpl w:val="D8BE9AFA"/>
    <w:lvl w:ilvl="0" w:tplc="D8C45C1E">
      <w:start w:val="1"/>
      <w:numFmt w:val="bullet"/>
      <w:lvlText w:val="•"/>
      <w:lvlJc w:val="left"/>
      <w:pPr>
        <w:tabs>
          <w:tab w:val="num" w:pos="720"/>
        </w:tabs>
        <w:ind w:left="720" w:hanging="360"/>
      </w:pPr>
      <w:rPr>
        <w:rFonts w:ascii="Arial" w:hAnsi="Arial" w:hint="default"/>
      </w:rPr>
    </w:lvl>
    <w:lvl w:ilvl="1" w:tplc="4CC69DB6" w:tentative="1">
      <w:start w:val="1"/>
      <w:numFmt w:val="bullet"/>
      <w:lvlText w:val="•"/>
      <w:lvlJc w:val="left"/>
      <w:pPr>
        <w:tabs>
          <w:tab w:val="num" w:pos="1440"/>
        </w:tabs>
        <w:ind w:left="1440" w:hanging="360"/>
      </w:pPr>
      <w:rPr>
        <w:rFonts w:ascii="Arial" w:hAnsi="Arial" w:hint="default"/>
      </w:rPr>
    </w:lvl>
    <w:lvl w:ilvl="2" w:tplc="B6F467C4" w:tentative="1">
      <w:start w:val="1"/>
      <w:numFmt w:val="bullet"/>
      <w:lvlText w:val="•"/>
      <w:lvlJc w:val="left"/>
      <w:pPr>
        <w:tabs>
          <w:tab w:val="num" w:pos="2160"/>
        </w:tabs>
        <w:ind w:left="2160" w:hanging="360"/>
      </w:pPr>
      <w:rPr>
        <w:rFonts w:ascii="Arial" w:hAnsi="Arial" w:hint="default"/>
      </w:rPr>
    </w:lvl>
    <w:lvl w:ilvl="3" w:tplc="5E9AA5AC" w:tentative="1">
      <w:start w:val="1"/>
      <w:numFmt w:val="bullet"/>
      <w:lvlText w:val="•"/>
      <w:lvlJc w:val="left"/>
      <w:pPr>
        <w:tabs>
          <w:tab w:val="num" w:pos="2880"/>
        </w:tabs>
        <w:ind w:left="2880" w:hanging="360"/>
      </w:pPr>
      <w:rPr>
        <w:rFonts w:ascii="Arial" w:hAnsi="Arial" w:hint="default"/>
      </w:rPr>
    </w:lvl>
    <w:lvl w:ilvl="4" w:tplc="6BA06908" w:tentative="1">
      <w:start w:val="1"/>
      <w:numFmt w:val="bullet"/>
      <w:lvlText w:val="•"/>
      <w:lvlJc w:val="left"/>
      <w:pPr>
        <w:tabs>
          <w:tab w:val="num" w:pos="3600"/>
        </w:tabs>
        <w:ind w:left="3600" w:hanging="360"/>
      </w:pPr>
      <w:rPr>
        <w:rFonts w:ascii="Arial" w:hAnsi="Arial" w:hint="default"/>
      </w:rPr>
    </w:lvl>
    <w:lvl w:ilvl="5" w:tplc="CFFED474" w:tentative="1">
      <w:start w:val="1"/>
      <w:numFmt w:val="bullet"/>
      <w:lvlText w:val="•"/>
      <w:lvlJc w:val="left"/>
      <w:pPr>
        <w:tabs>
          <w:tab w:val="num" w:pos="4320"/>
        </w:tabs>
        <w:ind w:left="4320" w:hanging="360"/>
      </w:pPr>
      <w:rPr>
        <w:rFonts w:ascii="Arial" w:hAnsi="Arial" w:hint="default"/>
      </w:rPr>
    </w:lvl>
    <w:lvl w:ilvl="6" w:tplc="008C707A" w:tentative="1">
      <w:start w:val="1"/>
      <w:numFmt w:val="bullet"/>
      <w:lvlText w:val="•"/>
      <w:lvlJc w:val="left"/>
      <w:pPr>
        <w:tabs>
          <w:tab w:val="num" w:pos="5040"/>
        </w:tabs>
        <w:ind w:left="5040" w:hanging="360"/>
      </w:pPr>
      <w:rPr>
        <w:rFonts w:ascii="Arial" w:hAnsi="Arial" w:hint="default"/>
      </w:rPr>
    </w:lvl>
    <w:lvl w:ilvl="7" w:tplc="984C0C56" w:tentative="1">
      <w:start w:val="1"/>
      <w:numFmt w:val="bullet"/>
      <w:lvlText w:val="•"/>
      <w:lvlJc w:val="left"/>
      <w:pPr>
        <w:tabs>
          <w:tab w:val="num" w:pos="5760"/>
        </w:tabs>
        <w:ind w:left="5760" w:hanging="360"/>
      </w:pPr>
      <w:rPr>
        <w:rFonts w:ascii="Arial" w:hAnsi="Arial" w:hint="default"/>
      </w:rPr>
    </w:lvl>
    <w:lvl w:ilvl="8" w:tplc="A81A81AE" w:tentative="1">
      <w:start w:val="1"/>
      <w:numFmt w:val="bullet"/>
      <w:lvlText w:val="•"/>
      <w:lvlJc w:val="left"/>
      <w:pPr>
        <w:tabs>
          <w:tab w:val="num" w:pos="6480"/>
        </w:tabs>
        <w:ind w:left="6480" w:hanging="360"/>
      </w:pPr>
      <w:rPr>
        <w:rFonts w:ascii="Arial" w:hAnsi="Arial" w:hint="default"/>
      </w:rPr>
    </w:lvl>
  </w:abstractNum>
  <w:abstractNum w:abstractNumId="6">
    <w:nsid w:val="4CFE0012"/>
    <w:multiLevelType w:val="hybridMultilevel"/>
    <w:tmpl w:val="BDAC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A412A3"/>
    <w:multiLevelType w:val="hybridMultilevel"/>
    <w:tmpl w:val="38AE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B71601"/>
    <w:multiLevelType w:val="hybridMultilevel"/>
    <w:tmpl w:val="A58A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0A7B11"/>
    <w:multiLevelType w:val="hybridMultilevel"/>
    <w:tmpl w:val="2A5A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8C3E04"/>
    <w:multiLevelType w:val="hybridMultilevel"/>
    <w:tmpl w:val="B9A2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6"/>
  </w:num>
  <w:num w:numId="5">
    <w:abstractNumId w:val="7"/>
  </w:num>
  <w:num w:numId="6">
    <w:abstractNumId w:val="3"/>
  </w:num>
  <w:num w:numId="7">
    <w:abstractNumId w:val="9"/>
  </w:num>
  <w:num w:numId="8">
    <w:abstractNumId w:val="4"/>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F1"/>
    <w:rsid w:val="00041718"/>
    <w:rsid w:val="00052FFF"/>
    <w:rsid w:val="000B7CA5"/>
    <w:rsid w:val="001A2900"/>
    <w:rsid w:val="00332C82"/>
    <w:rsid w:val="003805F6"/>
    <w:rsid w:val="00397A51"/>
    <w:rsid w:val="003A4801"/>
    <w:rsid w:val="003D2C49"/>
    <w:rsid w:val="00404966"/>
    <w:rsid w:val="00463EB5"/>
    <w:rsid w:val="004A007D"/>
    <w:rsid w:val="005743AA"/>
    <w:rsid w:val="005A4934"/>
    <w:rsid w:val="005B3BD3"/>
    <w:rsid w:val="00622CD9"/>
    <w:rsid w:val="00684218"/>
    <w:rsid w:val="007A5042"/>
    <w:rsid w:val="007F6460"/>
    <w:rsid w:val="007F6B52"/>
    <w:rsid w:val="008244F2"/>
    <w:rsid w:val="008432F0"/>
    <w:rsid w:val="00984891"/>
    <w:rsid w:val="00A06FE7"/>
    <w:rsid w:val="00A65AC6"/>
    <w:rsid w:val="00B166F1"/>
    <w:rsid w:val="00B67F8C"/>
    <w:rsid w:val="00C54FE6"/>
    <w:rsid w:val="00C83771"/>
    <w:rsid w:val="00CD023D"/>
    <w:rsid w:val="00CD1B20"/>
    <w:rsid w:val="00CE162F"/>
    <w:rsid w:val="00D377AA"/>
    <w:rsid w:val="00D43ABA"/>
    <w:rsid w:val="00ED6C2D"/>
    <w:rsid w:val="00FA3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18"/>
  </w:style>
  <w:style w:type="paragraph" w:styleId="Footer">
    <w:name w:val="footer"/>
    <w:basedOn w:val="Normal"/>
    <w:link w:val="FooterChar"/>
    <w:uiPriority w:val="99"/>
    <w:unhideWhenUsed/>
    <w:rsid w:val="00041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18"/>
  </w:style>
  <w:style w:type="paragraph" w:styleId="ListParagraph">
    <w:name w:val="List Paragraph"/>
    <w:basedOn w:val="Normal"/>
    <w:uiPriority w:val="34"/>
    <w:qFormat/>
    <w:rsid w:val="00041718"/>
    <w:pPr>
      <w:ind w:left="720"/>
      <w:contextualSpacing/>
    </w:pPr>
  </w:style>
  <w:style w:type="table" w:styleId="TableGrid">
    <w:name w:val="Table Grid"/>
    <w:basedOn w:val="TableNormal"/>
    <w:uiPriority w:val="39"/>
    <w:rsid w:val="00C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ABA"/>
    <w:rPr>
      <w:color w:val="0563C1" w:themeColor="hyperlink"/>
      <w:u w:val="single"/>
    </w:rPr>
  </w:style>
  <w:style w:type="paragraph" w:styleId="BalloonText">
    <w:name w:val="Balloon Text"/>
    <w:basedOn w:val="Normal"/>
    <w:link w:val="BalloonTextChar"/>
    <w:uiPriority w:val="99"/>
    <w:semiHidden/>
    <w:unhideWhenUsed/>
    <w:rsid w:val="00ED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18"/>
  </w:style>
  <w:style w:type="paragraph" w:styleId="Footer">
    <w:name w:val="footer"/>
    <w:basedOn w:val="Normal"/>
    <w:link w:val="FooterChar"/>
    <w:uiPriority w:val="99"/>
    <w:unhideWhenUsed/>
    <w:rsid w:val="00041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18"/>
  </w:style>
  <w:style w:type="paragraph" w:styleId="ListParagraph">
    <w:name w:val="List Paragraph"/>
    <w:basedOn w:val="Normal"/>
    <w:uiPriority w:val="34"/>
    <w:qFormat/>
    <w:rsid w:val="00041718"/>
    <w:pPr>
      <w:ind w:left="720"/>
      <w:contextualSpacing/>
    </w:pPr>
  </w:style>
  <w:style w:type="table" w:styleId="TableGrid">
    <w:name w:val="Table Grid"/>
    <w:basedOn w:val="TableNormal"/>
    <w:uiPriority w:val="39"/>
    <w:rsid w:val="00C83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ABA"/>
    <w:rPr>
      <w:color w:val="0563C1" w:themeColor="hyperlink"/>
      <w:u w:val="single"/>
    </w:rPr>
  </w:style>
  <w:style w:type="paragraph" w:styleId="BalloonText">
    <w:name w:val="Balloon Text"/>
    <w:basedOn w:val="Normal"/>
    <w:link w:val="BalloonTextChar"/>
    <w:uiPriority w:val="99"/>
    <w:semiHidden/>
    <w:unhideWhenUsed/>
    <w:rsid w:val="00ED6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211">
      <w:bodyDiv w:val="1"/>
      <w:marLeft w:val="0"/>
      <w:marRight w:val="0"/>
      <w:marTop w:val="0"/>
      <w:marBottom w:val="0"/>
      <w:divBdr>
        <w:top w:val="none" w:sz="0" w:space="0" w:color="auto"/>
        <w:left w:val="none" w:sz="0" w:space="0" w:color="auto"/>
        <w:bottom w:val="none" w:sz="0" w:space="0" w:color="auto"/>
        <w:right w:val="none" w:sz="0" w:space="0" w:color="auto"/>
      </w:divBdr>
      <w:divsChild>
        <w:div w:id="930939138">
          <w:marLeft w:val="547"/>
          <w:marRight w:val="0"/>
          <w:marTop w:val="115"/>
          <w:marBottom w:val="0"/>
          <w:divBdr>
            <w:top w:val="none" w:sz="0" w:space="0" w:color="auto"/>
            <w:left w:val="none" w:sz="0" w:space="0" w:color="auto"/>
            <w:bottom w:val="none" w:sz="0" w:space="0" w:color="auto"/>
            <w:right w:val="none" w:sz="0" w:space="0" w:color="auto"/>
          </w:divBdr>
        </w:div>
        <w:div w:id="62533042">
          <w:marLeft w:val="547"/>
          <w:marRight w:val="0"/>
          <w:marTop w:val="115"/>
          <w:marBottom w:val="0"/>
          <w:divBdr>
            <w:top w:val="none" w:sz="0" w:space="0" w:color="auto"/>
            <w:left w:val="none" w:sz="0" w:space="0" w:color="auto"/>
            <w:bottom w:val="none" w:sz="0" w:space="0" w:color="auto"/>
            <w:right w:val="none" w:sz="0" w:space="0" w:color="auto"/>
          </w:divBdr>
        </w:div>
        <w:div w:id="965237561">
          <w:marLeft w:val="547"/>
          <w:marRight w:val="0"/>
          <w:marTop w:val="115"/>
          <w:marBottom w:val="0"/>
          <w:divBdr>
            <w:top w:val="none" w:sz="0" w:space="0" w:color="auto"/>
            <w:left w:val="none" w:sz="0" w:space="0" w:color="auto"/>
            <w:bottom w:val="none" w:sz="0" w:space="0" w:color="auto"/>
            <w:right w:val="none" w:sz="0" w:space="0" w:color="auto"/>
          </w:divBdr>
        </w:div>
        <w:div w:id="1962832792">
          <w:marLeft w:val="547"/>
          <w:marRight w:val="0"/>
          <w:marTop w:val="115"/>
          <w:marBottom w:val="0"/>
          <w:divBdr>
            <w:top w:val="none" w:sz="0" w:space="0" w:color="auto"/>
            <w:left w:val="none" w:sz="0" w:space="0" w:color="auto"/>
            <w:bottom w:val="none" w:sz="0" w:space="0" w:color="auto"/>
            <w:right w:val="none" w:sz="0" w:space="0" w:color="auto"/>
          </w:divBdr>
        </w:div>
        <w:div w:id="1201823304">
          <w:marLeft w:val="547"/>
          <w:marRight w:val="0"/>
          <w:marTop w:val="115"/>
          <w:marBottom w:val="0"/>
          <w:divBdr>
            <w:top w:val="none" w:sz="0" w:space="0" w:color="auto"/>
            <w:left w:val="none" w:sz="0" w:space="0" w:color="auto"/>
            <w:bottom w:val="none" w:sz="0" w:space="0" w:color="auto"/>
            <w:right w:val="none" w:sz="0" w:space="0" w:color="auto"/>
          </w:divBdr>
        </w:div>
        <w:div w:id="1307318287">
          <w:marLeft w:val="547"/>
          <w:marRight w:val="0"/>
          <w:marTop w:val="115"/>
          <w:marBottom w:val="0"/>
          <w:divBdr>
            <w:top w:val="none" w:sz="0" w:space="0" w:color="auto"/>
            <w:left w:val="none" w:sz="0" w:space="0" w:color="auto"/>
            <w:bottom w:val="none" w:sz="0" w:space="0" w:color="auto"/>
            <w:right w:val="none" w:sz="0" w:space="0" w:color="auto"/>
          </w:divBdr>
        </w:div>
      </w:divsChild>
    </w:div>
    <w:div w:id="8693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hs.org.uk/get-involved/britain-in-bloom/regis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ies@rhs.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hs.org.uk/get-involved/britain-in-bloom/register" TargetMode="External"/><Relationship Id="rId4" Type="http://schemas.microsoft.com/office/2007/relationships/stylesWithEffects" Target="stylesWithEffects.xml"/><Relationship Id="rId9" Type="http://schemas.openxmlformats.org/officeDocument/2006/relationships/hyperlink" Target="https://www.rhs.org.uk/get-involved/britain-in-bloom/regis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22DE-2D28-4D43-B57D-F8C7E3E4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Royal Horticultural Society</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Clark</dc:creator>
  <cp:lastModifiedBy>Dee</cp:lastModifiedBy>
  <cp:revision>2</cp:revision>
  <cp:lastPrinted>2019-01-10T16:40:00Z</cp:lastPrinted>
  <dcterms:created xsi:type="dcterms:W3CDTF">2019-03-17T14:36:00Z</dcterms:created>
  <dcterms:modified xsi:type="dcterms:W3CDTF">2019-03-17T14:36:00Z</dcterms:modified>
</cp:coreProperties>
</file>